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COMMERCIAL CREDIT REPORT</w:t>
      </w:r>
    </w:p>
    <w:p>
      <w:r>
        <w:t>Nukhba Polymer Industries Co.</w:t>
      </w:r>
    </w:p>
    <w:p>
      <w:r>
        <w:rPr>
          <w:sz w:val="16"/>
        </w:rPr>
        <w:t>Report SB-26-3301190 dated 09/10/2026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SB-26-3301190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598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205,000,000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143,200,000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Number of lenders: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Defaults: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Enquiries (last 6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389"/>
        <w:gridCol w:w="1091"/>
        <w:gridCol w:w="1191"/>
        <w:gridCol w:w="893"/>
        <w:gridCol w:w="1091"/>
        <w:gridCol w:w="992"/>
        <w:gridCol w:w="1687"/>
      </w:tblGrid>
      <w:tr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Opened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Coastal Gulf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Term loan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120,000,000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72,000,000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Restructured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01/04/2021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  <w:t>Rescheduled 18/03/2026; maturity 30/09/2028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Coastal Gulf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Short-term Murabaha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40,000,000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38,400,000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01/04/2021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Coastal Gulf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Letters of credit (incl. acceptances)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30,000,000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23,600,000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01/04/2021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Tihama Investment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Letters of guarantee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15,000,000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9,200,000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14/02/2022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Term loan with Coastal Gulf Bank: 31-60 days past due in 01/2026 and 02/2026 (instalment of SAR 8.0m due 31/12/2025 unpaid); restructured on 18/03/2026 (four instalments deferred; maturity 30/09/2028). Other facilities current.</w:t>
      </w:r>
    </w:p>
    <w:p>
      <w:pPr>
        <w:spacing w:before="160"/>
      </w:pPr>
      <w:r>
        <w:rPr>
          <w:b/>
          <w:color w:val="0B5563"/>
          <w:sz w:val="22"/>
        </w:rPr>
        <w:t>Enquiries</w:t>
      </w:r>
    </w:p>
    <w:p>
      <w:r>
        <w:t>3 enquiries in the last 6 months: Sandstone Harbour Bank (10/2026), Al Rimal Commercial Bank (07/2026), Arabian Crescent Bank (05/2026).</w:t>
      </w:r>
    </w:p>
    <w:p>
      <w:pPr>
        <w:spacing w:before="160"/>
      </w:pPr>
      <w:r>
        <w:rPr>
          <w:b/>
          <w:color w:val="0B5563"/>
          <w:sz w:val="22"/>
        </w:rPr>
        <w:t>Legal and court records</w:t>
      </w:r>
    </w:p>
    <w:p>
      <w:r>
        <w:t>None recorded.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Commercial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COMMERCIAL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