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B3A55"/>
          <w:sz w:val="30"/>
        </w:rPr>
        <w:t>NUKHBA POLYMER INDUSTRIES CO. — FINANCIAL STATEMENTS FY2024</w:t>
      </w:r>
    </w:p>
    <w:p>
      <w:r>
        <w:t>INDEPENDENT AUDITOR'S REPORT AND STATEMENT OF FINANCIAL POSITION</w:t>
      </w:r>
    </w:p>
    <w:p>
      <w:r>
        <w:rPr>
          <w:sz w:val="16"/>
        </w:rPr>
        <w:t>For the year ended 31/12/2024</w:t>
      </w:r>
    </w:p>
    <w:p>
      <w:pPr>
        <w:spacing w:before="160"/>
      </w:pPr>
      <w:r>
        <w:rPr>
          <w:b/>
          <w:color w:val="2B3A55"/>
          <w:sz w:val="22"/>
        </w:rPr>
        <w:t>Key details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6973"/>
      </w:tblGrid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Customer name: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Nukhba Polymer Industries Co.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CR number: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2055104486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Financial year ended: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31/12/2024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Auditor: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Rawasi Audit &amp; Advisory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Audit opinion: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Unqualified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Qawaem filing reference: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QW-2025-2055104486</w:t>
            </w:r>
          </w:p>
        </w:tc>
      </w:tr>
    </w:tbl>
    <w:p>
      <w:pPr>
        <w:spacing w:before="160"/>
      </w:pPr>
      <w:r>
        <w:rPr>
          <w:b/>
          <w:color w:val="2B3A55"/>
          <w:sz w:val="22"/>
        </w:rPr>
        <w:t>Independent auditor's report</w:t>
      </w:r>
    </w:p>
    <w:p>
      <w:r>
        <w:t>In our opinion, the accompanying financial statements present fairly, in all material respects, the financial position of Nukhba Polymer Industries Co. as at 31/12/2024 and its financial performance and cash flows for the year then ended in accordance with IFRS as endorsed in the Kingdom.</w:t>
      </w:r>
    </w:p>
    <w:p>
      <w:r>
        <w:t>Rawasi Audit &amp; Advisory, Dammam. Signed by Majid Al-Ghamdi, licence 441, on 20/04/2025.</w:t>
      </w:r>
    </w:p>
    <w:p>
      <w:r>
        <w:br w:type="page"/>
      </w:r>
    </w:p>
    <w:p>
      <w:pPr>
        <w:spacing w:before="160"/>
      </w:pPr>
      <w:r>
        <w:rPr>
          <w:b/>
          <w:color w:val="2B3A55"/>
          <w:sz w:val="22"/>
        </w:rPr>
        <w:t>Statement of financial position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56"/>
        <w:gridCol w:w="2183"/>
        <w:gridCol w:w="2183"/>
      </w:tblGrid>
      <w:tr>
        <w:tc>
          <w:tcPr>
            <w:tcW w:type="dxa" w:w="5556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SAR</w:t>
            </w:r>
          </w:p>
        </w:tc>
        <w:tc>
          <w:tcPr>
            <w:tcW w:type="dxa" w:w="2183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31/12/2024</w:t>
            </w:r>
          </w:p>
        </w:tc>
        <w:tc>
          <w:tcPr>
            <w:tcW w:type="dxa" w:w="2183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31/12/2023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Cash and bank balances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9,100,000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11,200,000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Trade receivables, net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61,200,000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57,900,000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Inventories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52,000,000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48,800,000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Prepayments and other current assets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8,100,000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7,600,000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Total current assets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130,400,000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125,500,000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Property, plant and equipment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226,000,000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238,000,000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Other non-current assets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4,000,000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3,900,000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Total assets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360,400,000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367,400,000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Short-term borrowings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58,000,000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51,000,000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Trade payables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47,500,000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44,100,000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Accruals and other current liabilities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18,100,000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17,200,000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Current portion of long-term borrowings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32,000,000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24,000,000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Total current liabilities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155,600,000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136,300,000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Long-term borrowings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64,000,000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96,000,000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Employees' end-of-service benefits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8,900,000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8,200,000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Total liabilities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228,500,000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240,500,000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Share capital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100,000,000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100,000,000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Statutory reserve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17,700,000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16,200,000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Retained earnings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14,200,000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10,700,000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Total equity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131,900,000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126,900,000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Total liabilities and equity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360,400,000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367,400,000</w:t>
            </w:r>
          </w:p>
        </w:tc>
      </w:tr>
    </w:tbl>
    <w:p/>
    <w:p>
      <w:pPr>
        <w:spacing w:before="160"/>
      </w:pPr>
      <w:r>
        <w:rPr>
          <w:b/>
          <w:color w:val="2B3A55"/>
          <w:sz w:val="22"/>
        </w:rPr>
        <w:t>Statement of profit or loss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56"/>
        <w:gridCol w:w="2183"/>
        <w:gridCol w:w="2183"/>
      </w:tblGrid>
      <w:tr>
        <w:tc>
          <w:tcPr>
            <w:tcW w:type="dxa" w:w="5556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SAR</w:t>
            </w:r>
          </w:p>
        </w:tc>
        <w:tc>
          <w:tcPr>
            <w:tcW w:type="dxa" w:w="2183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FY2024</w:t>
            </w:r>
          </w:p>
        </w:tc>
        <w:tc>
          <w:tcPr>
            <w:tcW w:type="dxa" w:w="2183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FY2023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Revenue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318,200,000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301,500,000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Cost of revenue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270,200,000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247,800,000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Gross profit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48,000,000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53,700,000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Operating expenses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20,400,000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19,100,000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Operating profit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27,600,000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34,600,000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Finance cost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11,200,000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9,600,000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Zakat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1,400,000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1,600,000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Net profit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15,000,000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23,400,000</w:t>
            </w:r>
          </w:p>
        </w:tc>
      </w:tr>
    </w:tbl>
    <w:p/>
    <w:p>
      <w:pPr>
        <w:spacing w:before="160"/>
      </w:pPr>
      <w:r>
        <w:rPr>
          <w:b/>
          <w:color w:val="2B3A55"/>
          <w:sz w:val="22"/>
        </w:rPr>
        <w:t>Statement of cash flows (summary)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548"/>
        <w:gridCol w:w="3373"/>
      </w:tblGrid>
      <w:tr>
        <w:tc>
          <w:tcPr>
            <w:tcW w:type="dxa" w:w="6548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SAR</w:t>
            </w:r>
          </w:p>
        </w:tc>
        <w:tc>
          <w:tcPr>
            <w:tcW w:type="dxa" w:w="3373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FY2024</w:t>
            </w:r>
          </w:p>
        </w:tc>
      </w:tr>
      <w:tr>
        <w:tc>
          <w:tcPr>
            <w:tcW w:type="dxa" w:w="6548"/>
          </w:tcPr>
          <w:p>
            <w:pPr>
              <w:spacing w:after="0"/>
            </w:pPr>
            <w:r>
              <w:rPr>
                <w:sz w:val="17"/>
              </w:rPr>
              <w:t>Net profit</w:t>
            </w:r>
          </w:p>
        </w:tc>
        <w:tc>
          <w:tcPr>
            <w:tcW w:type="dxa" w:w="3373"/>
          </w:tcPr>
          <w:p>
            <w:pPr>
              <w:spacing w:after="0"/>
              <w:jc w:val="right"/>
            </w:pPr>
            <w:r>
              <w:rPr>
                <w:sz w:val="17"/>
              </w:rPr>
              <w:t>15,000,000</w:t>
            </w:r>
          </w:p>
        </w:tc>
      </w:tr>
      <w:tr>
        <w:tc>
          <w:tcPr>
            <w:tcW w:type="dxa" w:w="6548"/>
          </w:tcPr>
          <w:p>
            <w:pPr>
              <w:spacing w:after="0"/>
            </w:pPr>
            <w:r>
              <w:rPr>
                <w:sz w:val="17"/>
              </w:rPr>
              <w:t>Depreciation and amortisation</w:t>
            </w:r>
          </w:p>
        </w:tc>
        <w:tc>
          <w:tcPr>
            <w:tcW w:type="dxa" w:w="3373"/>
          </w:tcPr>
          <w:p>
            <w:pPr>
              <w:spacing w:after="0"/>
              <w:jc w:val="right"/>
            </w:pPr>
            <w:r>
              <w:rPr>
                <w:sz w:val="17"/>
              </w:rPr>
              <w:t>21,800,000</w:t>
            </w:r>
          </w:p>
        </w:tc>
      </w:tr>
      <w:tr>
        <w:tc>
          <w:tcPr>
            <w:tcW w:type="dxa" w:w="6548"/>
          </w:tcPr>
          <w:p>
            <w:pPr>
              <w:spacing w:after="0"/>
            </w:pPr>
            <w:r>
              <w:rPr>
                <w:sz w:val="17"/>
              </w:rPr>
              <w:t>Working capital changes and other</w:t>
            </w:r>
          </w:p>
        </w:tc>
        <w:tc>
          <w:tcPr>
            <w:tcW w:type="dxa" w:w="3373"/>
          </w:tcPr>
          <w:p>
            <w:pPr>
              <w:spacing w:after="0"/>
              <w:jc w:val="right"/>
            </w:pPr>
            <w:r>
              <w:rPr>
                <w:sz w:val="17"/>
              </w:rPr>
              <w:t>(2,000,000)</w:t>
            </w:r>
          </w:p>
        </w:tc>
      </w:tr>
      <w:tr>
        <w:tc>
          <w:tcPr>
            <w:tcW w:type="dxa" w:w="6548"/>
          </w:tcPr>
          <w:p>
            <w:pPr>
              <w:spacing w:after="0"/>
            </w:pPr>
            <w:r>
              <w:rPr>
                <w:sz w:val="17"/>
              </w:rPr>
              <w:t>Net cash from operating activities</w:t>
            </w:r>
          </w:p>
        </w:tc>
        <w:tc>
          <w:tcPr>
            <w:tcW w:type="dxa" w:w="3373"/>
          </w:tcPr>
          <w:p>
            <w:pPr>
              <w:spacing w:after="0"/>
              <w:jc w:val="right"/>
            </w:pPr>
            <w:r>
              <w:rPr>
                <w:sz w:val="17"/>
              </w:rPr>
              <w:t>34,800,000</w:t>
            </w:r>
          </w:p>
        </w:tc>
      </w:tr>
    </w:tbl>
    <w:p/>
    <w:p>
      <w:r>
        <w:br w:type="page"/>
      </w:r>
    </w:p>
    <w:p>
      <w:pPr>
        <w:spacing w:before="160"/>
      </w:pPr>
      <w:r>
        <w:rPr>
          <w:b/>
          <w:color w:val="2B3A55"/>
          <w:sz w:val="22"/>
        </w:rPr>
        <w:t>Selected notes</w:t>
      </w:r>
    </w:p>
    <w:p>
      <w:r>
        <w:rPr>
          <w:b/>
        </w:rPr>
        <w:t>Note 16 — Borrowings</w:t>
      </w:r>
    </w:p>
    <w:p>
      <w:r>
        <w:t>Term loan from Coastal Gulf Bank SAR 96,000,000 (2023: 120,000,000), repayable in 15 quarterly instalments of SAR 8,000,000 from 30/06/2024 to 31/12/2027, secured by a first-ranking charge over the machinery; financial covenant DSCR not below 1.25x.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77777"/>
        <w:sz w:val="14"/>
      </w:rPr>
      <w:t>Fictional document (CreditProbe R16). All names and figures are invented.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2B3A55"/>
        <w:sz w:val="24"/>
      </w:rPr>
      <w:t>Rawasi Audit &amp; Advisory</w:t>
    </w:r>
  </w:p>
  <w:p>
    <w:r>
      <w:rPr>
        <w:sz w:val="15"/>
      </w:rPr>
      <w:t>Certified public accountants · Dammam</w:t>
    </w:r>
  </w:p>
  <w:p>
    <w:r>
      <w:rPr>
        <w:sz w:val="15"/>
      </w:rPr>
      <w:t>Qawaem filing QW-2025-2055104486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NUKHBA POLYMER INDUSTRIES CO. — FINANCIAL STATEMENTS FY2024</dc:title>
  <dc:subject/>
  <dc:creator>Rawasi Audit &amp; Advisory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