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3415C"/>
          <w:sz w:val="30"/>
        </w:rPr>
        <w:t>REQUEST FOR CREDIT FACILITIES</w:t>
      </w:r>
    </w:p>
    <w:p>
      <w:r>
        <w:rPr>
          <w:sz w:val="16"/>
        </w:rPr>
        <w:t>Ref NPI/CEO/2026/41 · 08/10/2026</w:t>
      </w:r>
    </w:p>
    <w:p>
      <w:pPr>
        <w:spacing w:before="160"/>
      </w:pPr>
      <w:r>
        <w:rPr>
          <w:b/>
          <w:color w:val="33415C"/>
          <w:sz w:val="22"/>
        </w:rPr>
        <w:t>Key details</w:t>
      </w:r>
    </w:p>
    <w:tbl>
      <w:tblPr>
        <w:tblStyle w:val="TableGrid"/>
        <w:tblW w:type="auto" w:w="0"/>
        <w:tblLayout w:type="fixed"/>
        <w:tblLook w:firstColumn="1" w:firstRow="1" w:lastColumn="0" w:lastRow="0" w:noHBand="0" w:noVBand="1" w:val="04A0"/>
      </w:tblPr>
      <w:tblGrid>
        <w:gridCol w:w="2948"/>
        <w:gridCol w:w="6973"/>
      </w:tblGrid>
      <w:tr>
        <w:tc>
          <w:tcPr>
            <w:tcW w:type="dxa" w:w="2948"/>
            <w:shd w:val="clear" w:color="auto" w:fill="f3f1ec"/>
          </w:tcPr>
          <w:p>
            <w:r>
              <w:rPr>
                <w:b/>
                <w:sz w:val="17"/>
              </w:rPr>
              <w:t>Customer name:</w:t>
            </w:r>
          </w:p>
        </w:tc>
        <w:tc>
          <w:tcPr>
            <w:tcW w:type="dxa" w:w="6973"/>
          </w:tcPr>
          <w:p>
            <w:r>
              <w:rPr>
                <w:sz w:val="17"/>
              </w:rPr>
              <w:t>Nukhba Polymer Industries Co.</w:t>
            </w:r>
          </w:p>
        </w:tc>
      </w:tr>
      <w:tr>
        <w:tc>
          <w:tcPr>
            <w:tcW w:type="dxa" w:w="2948"/>
            <w:shd w:val="clear" w:color="auto" w:fill="f3f1ec"/>
          </w:tcPr>
          <w:p>
            <w:r>
              <w:rPr>
                <w:b/>
                <w:sz w:val="17"/>
              </w:rPr>
              <w:t>CR number:</w:t>
            </w:r>
          </w:p>
        </w:tc>
        <w:tc>
          <w:tcPr>
            <w:tcW w:type="dxa" w:w="6973"/>
          </w:tcPr>
          <w:p>
            <w:r>
              <w:rPr>
                <w:sz w:val="17"/>
              </w:rPr>
              <w:t>2055104486</w:t>
            </w:r>
          </w:p>
        </w:tc>
      </w:tr>
      <w:tr>
        <w:tc>
          <w:tcPr>
            <w:tcW w:type="dxa" w:w="2948"/>
            <w:shd w:val="clear" w:color="auto" w:fill="f3f1ec"/>
          </w:tcPr>
          <w:p>
            <w:r>
              <w:rPr>
                <w:b/>
                <w:sz w:val="17"/>
              </w:rPr>
              <w:t>Date:</w:t>
            </w:r>
          </w:p>
        </w:tc>
        <w:tc>
          <w:tcPr>
            <w:tcW w:type="dxa" w:w="6973"/>
          </w:tcPr>
          <w:p>
            <w:r>
              <w:rPr>
                <w:sz w:val="17"/>
              </w:rPr>
              <w:t>08/10/2026</w:t>
            </w:r>
          </w:p>
        </w:tc>
      </w:tr>
      <w:tr>
        <w:tc>
          <w:tcPr>
            <w:tcW w:type="dxa" w:w="2948"/>
            <w:shd w:val="clear" w:color="auto" w:fill="f3f1ec"/>
          </w:tcPr>
          <w:p>
            <w:r>
              <w:rPr>
                <w:b/>
                <w:sz w:val="17"/>
              </w:rPr>
              <w:t>Addressed to:</w:t>
            </w:r>
          </w:p>
        </w:tc>
        <w:tc>
          <w:tcPr>
            <w:tcW w:type="dxa" w:w="6973"/>
          </w:tcPr>
          <w:p>
            <w:r>
              <w:rPr>
                <w:sz w:val="17"/>
              </w:rPr>
              <w:t>Sandstone Harbour Bank, Corporate Banking</w:t>
            </w:r>
          </w:p>
        </w:tc>
      </w:tr>
      <w:tr>
        <w:tc>
          <w:tcPr>
            <w:tcW w:type="dxa" w:w="2948"/>
            <w:shd w:val="clear" w:color="auto" w:fill="f3f1ec"/>
          </w:tcPr>
          <w:p>
            <w:r>
              <w:rPr>
                <w:b/>
                <w:sz w:val="17"/>
              </w:rPr>
              <w:t>Total requested:</w:t>
            </w:r>
          </w:p>
        </w:tc>
        <w:tc>
          <w:tcPr>
            <w:tcW w:type="dxa" w:w="6973"/>
          </w:tcPr>
          <w:p>
            <w:r>
              <w:rPr>
                <w:sz w:val="17"/>
              </w:rPr>
              <w:t>SAR 157,000,000</w:t>
            </w:r>
          </w:p>
        </w:tc>
      </w:tr>
      <w:tr>
        <w:tc>
          <w:tcPr>
            <w:tcW w:type="dxa" w:w="2948"/>
            <w:shd w:val="clear" w:color="auto" w:fill="f3f1ec"/>
          </w:tcPr>
          <w:p>
            <w:r>
              <w:rPr>
                <w:b/>
                <w:sz w:val="17"/>
              </w:rPr>
              <w:t>Signed by:</w:t>
            </w:r>
          </w:p>
        </w:tc>
        <w:tc>
          <w:tcPr>
            <w:tcW w:type="dxa" w:w="6973"/>
          </w:tcPr>
          <w:p>
            <w:r>
              <w:rPr>
                <w:sz w:val="17"/>
              </w:rPr>
              <w:t>Saleh Ibrahim Al-Mansour</w:t>
            </w:r>
          </w:p>
        </w:tc>
      </w:tr>
      <w:tr>
        <w:tc>
          <w:tcPr>
            <w:tcW w:type="dxa" w:w="2948"/>
            <w:shd w:val="clear" w:color="auto" w:fill="f3f1ec"/>
          </w:tcPr>
          <w:p>
            <w:r>
              <w:rPr>
                <w:b/>
                <w:sz w:val="17"/>
              </w:rPr>
              <w:t>Capacity:</w:t>
            </w:r>
          </w:p>
        </w:tc>
        <w:tc>
          <w:tcPr>
            <w:tcW w:type="dxa" w:w="6973"/>
          </w:tcPr>
          <w:p>
            <w:r>
              <w:rPr>
                <w:sz w:val="17"/>
              </w:rPr>
              <w:t>Chairman and General Manager</w:t>
            </w:r>
          </w:p>
        </w:tc>
      </w:tr>
    </w:tbl>
    <w:p>
      <w:r>
        <w:t>Dear Sirs,</w:t>
      </w:r>
    </w:p>
    <w:p>
      <w:r>
        <w:t>We would like to move our main banking relationship to Sandstone Harbour Bank. We request the following facilities to take over our facilities with Coastal Gulf Bank (outstanding SAR 134,000,000 at 30/09/2026) and support our growth, at 3M SAIBOR + 1.25%:</w:t>
      </w:r>
    </w:p>
    <w:tbl>
      <w:tblPr>
        <w:tblStyle w:val="TableGrid"/>
        <w:tblW w:type="auto" w:w="0"/>
        <w:jc w:val="center"/>
        <w:tblLayout w:type="fixed"/>
        <w:tblLook w:firstColumn="1" w:firstRow="1" w:lastColumn="0" w:lastRow="0" w:noHBand="0" w:noVBand="1" w:val="04A0"/>
      </w:tblPr>
      <w:tblGrid>
        <w:gridCol w:w="3472"/>
        <w:gridCol w:w="1984"/>
        <w:gridCol w:w="4465"/>
      </w:tblGrid>
      <w:tr>
        <w:tc>
          <w:tcPr>
            <w:tcW w:type="dxa" w:w="3472"/>
            <w:shd w:val="clear" w:color="auto" w:fill="e9e6df"/>
          </w:tcPr>
          <w:p>
            <w:pPr>
              <w:spacing w:after="0"/>
            </w:pPr>
            <w:r>
              <w:rPr>
                <w:b/>
                <w:sz w:val="17"/>
              </w:rPr>
              <w:t>Facility</w:t>
            </w:r>
          </w:p>
        </w:tc>
        <w:tc>
          <w:tcPr>
            <w:tcW w:type="dxa" w:w="1984"/>
            <w:shd w:val="clear" w:color="auto" w:fill="e9e6df"/>
          </w:tcPr>
          <w:p>
            <w:pPr>
              <w:spacing w:after="0"/>
            </w:pPr>
            <w:r>
              <w:rPr>
                <w:b/>
                <w:sz w:val="17"/>
              </w:rPr>
              <w:t>Amount (SAR)</w:t>
            </w:r>
          </w:p>
        </w:tc>
        <w:tc>
          <w:tcPr>
            <w:tcW w:type="dxa" w:w="4465"/>
            <w:shd w:val="clear" w:color="auto" w:fill="e9e6df"/>
          </w:tcPr>
          <w:p>
            <w:pPr>
              <w:spacing w:after="0"/>
            </w:pPr>
            <w:r>
              <w:rPr>
                <w:b/>
                <w:sz w:val="17"/>
              </w:rPr>
              <w:t>Purpose</w:t>
            </w:r>
          </w:p>
        </w:tc>
      </w:tr>
      <w:tr>
        <w:tc>
          <w:tcPr>
            <w:tcW w:type="dxa" w:w="3472"/>
          </w:tcPr>
          <w:p>
            <w:pPr>
              <w:spacing w:after="0"/>
            </w:pPr>
            <w:r>
              <w:rPr>
                <w:sz w:val="17"/>
              </w:rPr>
              <w:t>Term loan (takeover), 48 months</w:t>
            </w:r>
          </w:p>
        </w:tc>
        <w:tc>
          <w:tcPr>
            <w:tcW w:type="dxa" w:w="1984"/>
          </w:tcPr>
          <w:p>
            <w:pPr>
              <w:spacing w:after="0"/>
              <w:jc w:val="right"/>
            </w:pPr>
            <w:r>
              <w:rPr>
                <w:sz w:val="17"/>
              </w:rPr>
              <w:t>72,000,000</w:t>
            </w:r>
          </w:p>
        </w:tc>
        <w:tc>
          <w:tcPr>
            <w:tcW w:type="dxa" w:w="4465"/>
          </w:tcPr>
          <w:p>
            <w:pPr>
              <w:spacing w:after="0"/>
            </w:pPr>
            <w:r>
              <w:rPr>
                <w:sz w:val="17"/>
              </w:rPr>
              <w:t>Repayment of the Coastal Gulf Bank term loan</w:t>
            </w:r>
          </w:p>
        </w:tc>
      </w:tr>
      <w:tr>
        <w:tc>
          <w:tcPr>
            <w:tcW w:type="dxa" w:w="3472"/>
          </w:tcPr>
          <w:p>
            <w:pPr>
              <w:spacing w:after="0"/>
            </w:pPr>
            <w:r>
              <w:rPr>
                <w:sz w:val="17"/>
              </w:rPr>
              <w:t>Short-term Murabaha</w:t>
            </w:r>
          </w:p>
        </w:tc>
        <w:tc>
          <w:tcPr>
            <w:tcW w:type="dxa" w:w="1984"/>
          </w:tcPr>
          <w:p>
            <w:pPr>
              <w:spacing w:after="0"/>
              <w:jc w:val="right"/>
            </w:pPr>
            <w:r>
              <w:rPr>
                <w:sz w:val="17"/>
              </w:rPr>
              <w:t>45,000,000</w:t>
            </w:r>
          </w:p>
        </w:tc>
        <w:tc>
          <w:tcPr>
            <w:tcW w:type="dxa" w:w="4465"/>
          </w:tcPr>
          <w:p>
            <w:pPr>
              <w:spacing w:after="0"/>
            </w:pPr>
            <w:r>
              <w:rPr>
                <w:sz w:val="17"/>
              </w:rPr>
              <w:t>Working capital; takeover of the Coastal Gulf Bank Murabaha</w:t>
            </w:r>
          </w:p>
        </w:tc>
      </w:tr>
      <w:tr>
        <w:tc>
          <w:tcPr>
            <w:tcW w:type="dxa" w:w="3472"/>
          </w:tcPr>
          <w:p>
            <w:pPr>
              <w:spacing w:after="0"/>
            </w:pPr>
            <w:r>
              <w:rPr>
                <w:sz w:val="17"/>
              </w:rPr>
              <w:t>Letters of credit (sight / usance 120 days)</w:t>
            </w:r>
          </w:p>
        </w:tc>
        <w:tc>
          <w:tcPr>
            <w:tcW w:type="dxa" w:w="1984"/>
          </w:tcPr>
          <w:p>
            <w:pPr>
              <w:spacing w:after="0"/>
              <w:jc w:val="right"/>
            </w:pPr>
            <w:r>
              <w:rPr>
                <w:sz w:val="17"/>
              </w:rPr>
              <w:t>40,000,000</w:t>
            </w:r>
          </w:p>
        </w:tc>
        <w:tc>
          <w:tcPr>
            <w:tcW w:type="dxa" w:w="4465"/>
          </w:tcPr>
          <w:p>
            <w:pPr>
              <w:spacing w:after="0"/>
            </w:pPr>
            <w:r>
              <w:rPr>
                <w:sz w:val="17"/>
              </w:rPr>
              <w:t>PET resin imports</w:t>
            </w:r>
          </w:p>
        </w:tc>
      </w:tr>
      <w:tr>
        <w:tc>
          <w:tcPr>
            <w:tcW w:type="dxa" w:w="3472"/>
          </w:tcPr>
          <w:p>
            <w:pPr>
              <w:spacing w:after="0"/>
            </w:pPr>
            <w:r>
              <w:rPr>
                <w:sz w:val="17"/>
              </w:rPr>
              <w:t>Total</w:t>
            </w:r>
          </w:p>
        </w:tc>
        <w:tc>
          <w:tcPr>
            <w:tcW w:type="dxa" w:w="1984"/>
          </w:tcPr>
          <w:p>
            <w:pPr>
              <w:spacing w:after="0"/>
              <w:jc w:val="right"/>
            </w:pPr>
            <w:r>
              <w:rPr>
                <w:sz w:val="17"/>
              </w:rPr>
              <w:t>157,000,000</w:t>
            </w:r>
          </w:p>
        </w:tc>
        <w:tc>
          <w:tcPr>
            <w:tcW w:type="dxa" w:w="4465"/>
          </w:tcPr>
          <w:p>
            <w:pPr>
              <w:spacing w:after="0"/>
            </w:pPr>
            <w:r>
              <w:rPr>
                <w:sz w:val="17"/>
              </w:rPr>
            </w:r>
          </w:p>
        </w:tc>
      </w:tr>
    </w:tbl>
    <w:p/>
    <w:p>
      <w:r>
        <w:t>We have an excellent track record with Coastal Gulf Bank with no delays or restructuring, and we are moving only because of pricing.</w:t>
      </w:r>
    </w:p>
    <w:p>
      <w:r>
        <w:t>We offer a first-ranking charge over our machinery (to be released by the current bank on takeover) and the personal guarantee of the undersigned.</w:t>
      </w:r>
    </w:p>
    <w:p>
      <w:r>
        <w:t>Yours faithfully,</w:t>
      </w:r>
    </w:p>
    <w:tbl>
      <w:tblPr>
        <w:tblW w:type="auto" w:w="0"/>
        <w:tblLook w:firstColumn="1" w:firstRow="1" w:lastColumn="0" w:lastRow="0" w:noHBand="0" w:noVBand="1" w:val="04A0"/>
      </w:tblPr>
      <w:tblGrid>
        <w:gridCol w:w="9978"/>
      </w:tblGrid>
      <w:tr>
        <w:tc>
          <w:tcPr>
            <w:tcW w:type="dxa" w:w="9978"/>
          </w:tcPr>
          <w:p>
            <w:r>
              <w:br/>
              <w:br/>
              <w:t>______________________</w:t>
              <w:br/>
              <w:t>Saleh Ibrahim Al-Mansour</w:t>
              <w:br/>
              <w:t>Chairman and General Manager</w:t>
            </w:r>
          </w:p>
        </w:tc>
      </w:tr>
    </w:tbl>
    <w:p>
      <w:r>
        <w:rPr>
          <w:b/>
          <w:color w:val="33415C"/>
        </w:rPr>
        <w:t>[ COMPANY SEAL ]</w:t>
      </w:r>
    </w:p>
    <w:sectPr w:rsidR="00FC693F" w:rsidRPr="0006063C" w:rsidSect="00034616">
      <w:headerReference w:type="default" r:id="rId9"/>
      <w:footerReference w:type="default" r:id="rId10"/>
      <w:pgSz w:w="11906" w:h="16838"/>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77777"/>
        <w:sz w:val="14"/>
      </w:rPr>
      <w:t>Fictional document (CreditProbe R16). All names and figures are invented.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33415C"/>
        <w:sz w:val="24"/>
      </w:rPr>
      <w:t>Nukhba Polymer Industries Co.</w:t>
    </w:r>
  </w:p>
  <w:p>
    <w:r>
      <w:rPr>
        <w:sz w:val="15"/>
      </w:rPr>
      <w:t>CR 2055104486 · VAT 302055104400003 · Industrial Area 2, Street 214, Jubail Industrial City 35718</w:t>
    </w:r>
  </w:p>
  <w:p>
    <w:r>
      <w:rPr>
        <w:sz w:val="15"/>
      </w:rPr>
      <w:t>Tel +966 13 340 9921 · finance@nukhba-polymer.example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CREDIT FACILITIES</dc:title>
  <dc:subject/>
  <dc:creator>Nukhba Polymer Industries Co.</dc:creator>
  <cp:keywords/>
  <dc:description>generated by python-docx</dc:description>
  <cp:lastModifiedBy/>
  <cp:revision>1</cp:revision>
  <dcterms:created xsi:type="dcterms:W3CDTF">2013-12-23T23:15:00Z</dcterms:created>
  <dcterms:modified xsi:type="dcterms:W3CDTF">2013-12-23T23:15:00Z</dcterms:modified>
  <cp:category/>
</cp:coreProperties>
</file>