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VALUATION REPORT</w:t>
      </w:r>
    </w:p>
    <w:p>
      <w:r>
        <w:t>Production machinery: 6 PET preform lines, 4 blow-moulding lines, 2 film extruders (Jubail plant, leased land)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Property: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Production machinery: 6 PET preform lines, 4 blow-moulding lines, 2 film extruders (Jubail plant, leased land)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Registered owner: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Title deed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Leasehold — industrial lease JIC/IA2/214 (no title deed)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Valuer: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Al Bunyan Asset Valuation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Valuation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22/07/2026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Market value: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162,000,000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Forced-sale value: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105,000,000</w:t>
            </w:r>
          </w:p>
        </w:tc>
      </w:tr>
    </w:tbl>
    <w:p>
      <w:r>
        <w:t>Machinery valued on depreciated replacement cost; average age 6.5 years; good condition.</w:t>
      </w:r>
    </w:p>
    <w:p>
      <w:r>
        <w:t>Market value SAR 162,000,000; forced-sale value SAR 105,000,000. A first-ranking charge in favour of Coastal Gulf Bank is registered.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Talal Al-Juhani</w:t>
              <w:br/>
              <w:t>Valuer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Al Bunyan Asset Valuation Co.</w:t>
    </w:r>
  </w:p>
  <w:p>
    <w:r>
      <w:rPr>
        <w:sz w:val="15"/>
      </w:rPr>
      <w:t>Accredited real-estate valuer (fictional)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VALUATION REPORT</dc:title>
  <dc:subject/>
  <dc:creator>Al Bunyan Asset Valuation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