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3557"/>
          <w:sz w:val="30"/>
        </w:rPr>
        <w:t>CREDIT PROPOSAL — REFERENCE (BUSINESS REQUEST, CREDIT COMMENTS, RECOMMENDATION)</w:t>
      </w:r>
    </w:p>
    <w:p>
      <w:r>
        <w:t>Sanad Smart Facility Services Co. · New (SME)</w:t>
      </w:r>
    </w:p>
    <w:p>
      <w:r>
        <w:rPr>
          <w:sz w:val="16"/>
        </w:rPr>
        <w:t>Date 14/10/2026 · RM Hind Al-Subaie</w:t>
      </w:r>
    </w:p>
    <w:p>
      <w:pPr>
        <w:spacing w:before="160"/>
      </w:pPr>
      <w:r>
        <w:rPr>
          <w:b/>
          <w:color w:val="1D3557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Unit / branch: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SME Banking — Central Region / Riyadh King Abdulaziz Road Branch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Sanad Smart Facility Services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CIF / base no.: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New to bank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Group: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— (—)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Date account opened: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Related / connected party: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14/10/2026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AO / RO: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Hind Al-Subaie / Nawaf Al-Otaibi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Purpose code: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WC-03 SME working capital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Request type: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New (SME)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Review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31/10/2027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Industry code: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N8110 — Combined facilities support activities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Collateral code: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PG — Personal guarantee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Rating (existing / proposed):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— / BB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1010712290</w:t>
            </w:r>
          </w:p>
        </w:tc>
      </w:tr>
    </w:tbl>
    <w:p>
      <w:pPr>
        <w:spacing w:before="160"/>
      </w:pPr>
      <w:r>
        <w:rPr>
          <w:b/>
          <w:color w:val="1D3557"/>
          <w:sz w:val="22"/>
        </w:rPr>
        <w:t>1. Action requested</w:t>
      </w:r>
    </w:p>
    <w:p>
      <w:r>
        <w:t>Approve new SME facilities of SAR 8.0m to Sanad Smart Facility Services Co. (new to bank): overdraft SAR 3.0m and letters of guarantee SAR 5.0m (bid and performance) for the renewal of its main contract and two business-park tenders. Funded SAR 3.0m; facilities at Tihama Investment Bank (SAR 7.0m) stay in place.</w:t>
      </w:r>
    </w:p>
    <w:p>
      <w:pPr>
        <w:spacing w:before="160"/>
      </w:pPr>
      <w:r>
        <w:rPr>
          <w:b/>
          <w:color w:val="1D3557"/>
          <w:sz w:val="22"/>
        </w:rPr>
        <w:t>2. Facilities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79"/>
        <w:gridCol w:w="843"/>
        <w:gridCol w:w="1191"/>
        <w:gridCol w:w="943"/>
        <w:gridCol w:w="843"/>
        <w:gridCol w:w="3423"/>
      </w:tblGrid>
      <w:tr>
        <w:tc>
          <w:tcPr>
            <w:tcW w:type="dxa" w:w="267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Facility (SAR m)</w:t>
            </w:r>
          </w:p>
        </w:tc>
        <w:tc>
          <w:tcPr>
            <w:tcW w:type="dxa" w:w="84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Existing</w:t>
            </w:r>
          </w:p>
        </w:tc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Outstanding</w:t>
            </w:r>
          </w:p>
        </w:tc>
        <w:tc>
          <w:tcPr>
            <w:tcW w:type="dxa" w:w="94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Proposed</w:t>
            </w:r>
          </w:p>
        </w:tc>
        <w:tc>
          <w:tcPr>
            <w:tcW w:type="dxa" w:w="84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Cash margin</w:t>
            </w:r>
          </w:p>
        </w:tc>
        <w:tc>
          <w:tcPr>
            <w:tcW w:type="dxa" w:w="342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Particulars</w:t>
            </w:r>
          </w:p>
        </w:tc>
      </w:tr>
      <w:tr>
        <w:tc>
          <w:tcPr>
            <w:tcW w:type="dxa" w:w="2679"/>
          </w:tcPr>
          <w:p>
            <w:pPr>
              <w:spacing w:after="0"/>
            </w:pPr>
            <w:r>
              <w:rPr>
                <w:sz w:val="17"/>
              </w:rPr>
              <w:t>Overdraft</w:t>
            </w:r>
          </w:p>
        </w:tc>
        <w:tc>
          <w:tcPr>
            <w:tcW w:type="dxa" w:w="843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943"/>
          </w:tcPr>
          <w:p>
            <w:pPr>
              <w:spacing w:after="0"/>
              <w:jc w:val="right"/>
            </w:pPr>
            <w:r>
              <w:rPr>
                <w:sz w:val="17"/>
              </w:rPr>
              <w:t>3.0</w:t>
            </w:r>
          </w:p>
        </w:tc>
        <w:tc>
          <w:tcPr>
            <w:tcW w:type="dxa" w:w="843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423"/>
          </w:tcPr>
          <w:p>
            <w:pPr>
              <w:spacing w:after="0"/>
            </w:pPr>
            <w:r>
              <w:rPr>
                <w:sz w:val="17"/>
              </w:rPr>
              <w:t>3M SAIBOR + 3.00%, floor 7.00%; 12 months</w:t>
            </w:r>
          </w:p>
        </w:tc>
      </w:tr>
      <w:tr>
        <w:tc>
          <w:tcPr>
            <w:tcW w:type="dxa" w:w="2679"/>
          </w:tcPr>
          <w:p>
            <w:pPr>
              <w:spacing w:after="0"/>
            </w:pPr>
            <w:r>
              <w:rPr>
                <w:sz w:val="17"/>
              </w:rPr>
              <w:t>Letters of guarantee (bid and performance)</w:t>
            </w:r>
          </w:p>
        </w:tc>
        <w:tc>
          <w:tcPr>
            <w:tcW w:type="dxa" w:w="843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943"/>
          </w:tcPr>
          <w:p>
            <w:pPr>
              <w:spacing w:after="0"/>
              <w:jc w:val="right"/>
            </w:pPr>
            <w:r>
              <w:rPr>
                <w:sz w:val="17"/>
              </w:rPr>
              <w:t>5.0</w:t>
            </w:r>
          </w:p>
        </w:tc>
        <w:tc>
          <w:tcPr>
            <w:tcW w:type="dxa" w:w="843"/>
          </w:tcPr>
          <w:p>
            <w:pPr>
              <w:spacing w:after="0"/>
              <w:jc w:val="right"/>
            </w:pPr>
            <w:r>
              <w:rPr>
                <w:sz w:val="17"/>
              </w:rPr>
              <w:t>10%</w:t>
            </w:r>
          </w:p>
        </w:tc>
        <w:tc>
          <w:tcPr>
            <w:tcW w:type="dxa" w:w="3423"/>
          </w:tcPr>
          <w:p>
            <w:pPr>
              <w:spacing w:after="0"/>
            </w:pPr>
            <w:r>
              <w:rPr>
                <w:sz w:val="17"/>
              </w:rPr>
              <w:t>Comm. 1.00% p.a.; Up to 24 months</w:t>
            </w:r>
          </w:p>
        </w:tc>
      </w:tr>
      <w:tr>
        <w:tc>
          <w:tcPr>
            <w:tcW w:type="dxa" w:w="2679"/>
          </w:tcPr>
          <w:p>
            <w:pPr>
              <w:spacing w:after="0"/>
            </w:pPr>
            <w:r>
              <w:rPr>
                <w:sz w:val="17"/>
              </w:rPr>
              <w:t>Total facilities</w:t>
            </w:r>
          </w:p>
        </w:tc>
        <w:tc>
          <w:tcPr>
            <w:tcW w:type="dxa" w:w="843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943"/>
          </w:tcPr>
          <w:p>
            <w:pPr>
              <w:spacing w:after="0"/>
              <w:jc w:val="right"/>
            </w:pPr>
            <w:r>
              <w:rPr>
                <w:sz w:val="17"/>
              </w:rPr>
              <w:t>8.0</w:t>
            </w:r>
          </w:p>
        </w:tc>
        <w:tc>
          <w:tcPr>
            <w:tcW w:type="dxa" w:w="843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423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r>
        <w:t>Arrangement fee SAR 20,000; LG issuance SAR 500 per LG.</w:t>
      </w:r>
    </w:p>
    <w:p>
      <w:pPr>
        <w:spacing w:before="160"/>
      </w:pPr>
      <w:r>
        <w:rPr>
          <w:b/>
          <w:color w:val="1D3557"/>
          <w:sz w:val="22"/>
        </w:rPr>
        <w:t>3. Security and support</w:t>
      </w:r>
    </w:p>
    <w:p>
      <w:pPr>
        <w:pStyle w:val="ListBullet"/>
      </w:pPr>
      <w:r>
        <w:t>All limits: personal guarantee of Abdulaziz Saleh Al-Mutlaq (90% shareholder); net-worth statement not provided.</w:t>
      </w:r>
    </w:p>
    <w:p>
      <w:pPr>
        <w:pStyle w:val="ListBullet"/>
      </w:pPr>
      <w:r>
        <w:t>All limits: promissory note SAR 8.0m signed by the General Manager.</w:t>
      </w:r>
    </w:p>
    <w:p>
      <w:pPr>
        <w:pStyle w:val="ListBullet"/>
      </w:pPr>
      <w:r>
        <w:t>LGs: 10% cash margin per LG, held in a blocked account.</w:t>
      </w:r>
    </w:p>
    <w:p>
      <w:pPr>
        <w:spacing w:before="160"/>
      </w:pPr>
      <w:r>
        <w:rPr>
          <w:b/>
          <w:color w:val="1D3557"/>
          <w:sz w:val="22"/>
        </w:rPr>
        <w:t>4. Terms and conditions</w:t>
      </w:r>
    </w:p>
    <w:p>
      <w:pPr>
        <w:spacing w:after="40"/>
        <w:ind w:left="340" w:hanging="283"/>
      </w:pPr>
      <w:r>
        <w:t>1. Overdraft for payroll and operating expenses; no transfers to shareholders from the overdraft; reviewed annually.</w:t>
      </w:r>
    </w:p>
    <w:p>
      <w:pPr>
        <w:spacing w:after="40"/>
        <w:ind w:left="340" w:hanging="283"/>
      </w:pPr>
      <w:r>
        <w:t>2. LGs for facility-management tenders and contracts in the Kingdom only; single LG not above SAR 2.5m; validity not beyond 24 months plus 3 months claim period.</w:t>
      </w:r>
    </w:p>
    <w:p>
      <w:pPr>
        <w:spacing w:after="40"/>
        <w:ind w:left="340" w:hanging="283"/>
      </w:pPr>
      <w:r>
        <w:t>3. Route the company's collections through the Bank within 3 months, not less than SAR 2.5m a month (12-month credits at Tihama Investment Bank SAR 42.5m).</w:t>
      </w:r>
    </w:p>
    <w:p>
      <w:pPr>
        <w:spacing w:after="40"/>
        <w:ind w:left="340" w:hanging="283"/>
      </w:pPr>
      <w:r>
        <w:t>4. Payroll (WPS) for all 182 staff through the Bank within 3 months.</w:t>
      </w:r>
    </w:p>
    <w:p>
      <w:pPr>
        <w:spacing w:after="40"/>
        <w:ind w:left="340" w:hanging="283"/>
      </w:pPr>
      <w:r>
        <w:t>5. Audited financial statements within 120 days of year end; half-yearly management accounts within 60 days.</w:t>
      </w:r>
    </w:p>
    <w:p>
      <w:pPr>
        <w:spacing w:before="160"/>
      </w:pPr>
      <w:r>
        <w:rPr>
          <w:b/>
          <w:color w:val="1D3557"/>
          <w:sz w:val="22"/>
        </w:rPr>
        <w:t>5. Group exposure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1389"/>
        <w:gridCol w:w="1389"/>
        <w:gridCol w:w="1389"/>
        <w:gridCol w:w="1389"/>
        <w:gridCol w:w="1389"/>
      </w:tblGrid>
      <w:tr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Entity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Funded existing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Total existing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Funded proposed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Total proposed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Outstanding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Sanad Smart Facility Services Co. (no group entities)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Group total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</w:tr>
    </w:tbl>
    <w:p/>
    <w:p>
      <w:r>
        <w:t>References: credit file request CFR/SME/2026/1187 (14/10/2026); customer's letter SSFS/GM/2026/19 (11/10/2026).</w:t>
      </w:r>
    </w:p>
    <w:p>
      <w:pPr>
        <w:spacing w:before="160"/>
      </w:pPr>
      <w:r>
        <w:rPr>
          <w:b/>
          <w:color w:val="1D3557"/>
          <w:sz w:val="22"/>
        </w:rPr>
        <w:t>6. Background</w:t>
      </w:r>
    </w:p>
    <w:p>
      <w:r>
        <w:t>Sanad Smart Facility Services Co. (CR 1010712290, Riyadh, CR valid to 09/03/2027), LLC incorporated 10/03/2019, capital SAR 1.0m; Abdulaziz Saleh Al-Mutlaq 90% (General Manager, sole signatory), Fahad Saleh Al-Mutlaq 10% (since 16/01/2022). No group entities.</w:t>
      </w:r>
    </w:p>
    <w:p>
      <w:r>
        <w:t>Facility management for business parks and commercial buildings (cleaning, soft services, MEP maintenance); 182 staff, of which 42 Saudi (Nitaqat Low Green, 23.1% vs 22.9%). VAT filed quarterly since 01/07/2019.</w:t>
      </w:r>
    </w:p>
    <w:p>
      <w:r>
        <w:t>Customers as per business (2025): Rawdat Business Park Management Co. 62.0% (30 days; contract to 30/06/2027), Al Ghadir Business Centre Owners Association 12.0%, 11 other clients 26.0% (30-60 days). Suppliers: 3 manpower subcontractors 41.0%, cleaning materials 22.0%.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191"/>
        <w:gridCol w:w="1587"/>
        <w:gridCol w:w="1587"/>
        <w:gridCol w:w="1587"/>
      </w:tblGrid>
      <w:tr>
        <w:tc>
          <w:tcPr>
            <w:tcW w:type="dxa" w:w="396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Shareholder</w:t>
            </w:r>
          </w:p>
        </w:tc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Born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Nationality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Share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UBO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Abdulaziz Saleh Al-Mutlaq (GM)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7"/>
              </w:rPr>
              <w:t>1984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Saudi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90.0%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Fahad Saleh Al-Mutlaq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7"/>
              </w:rPr>
              <w:t>1990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Saudi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10.0%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</w:tbl>
    <w:p/>
    <w:p>
      <w:pPr>
        <w:spacing w:before="160"/>
      </w:pPr>
      <w:r>
        <w:rPr>
          <w:b/>
          <w:color w:val="1D3557"/>
          <w:sz w:val="22"/>
        </w:rPr>
        <w:t>7. Relationship with the Bank</w:t>
      </w:r>
    </w:p>
    <w:p>
      <w:r>
        <w:t>New to bank; account to be opened on approval. Banks with Tihama Investment Bank (SME term loan limit SAR 4.0m, outstanding SAR 1.4m; Murabaha SAR 3.0m, outstanding SAR 2.8m; SIMAH 13/10/2026, no delinquency in 24 months).</w:t>
      </w:r>
    </w:p>
    <w:p>
      <w:r>
        <w:t>Tihama Investment Bank statement Oct 2025 – Sep 2026: credits SAR 42.5m, payroll SAR 24.7m, no returned cheques.</w:t>
      </w:r>
    </w:p>
    <w:p>
      <w:pPr>
        <w:spacing w:before="160"/>
      </w:pPr>
      <w:r>
        <w:rPr>
          <w:b/>
          <w:color w:val="1D3557"/>
          <w:sz w:val="22"/>
        </w:rPr>
        <w:t>8. Financials (as per audited and in-house statements)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984"/>
        <w:gridCol w:w="1984"/>
        <w:gridCol w:w="1984"/>
      </w:tblGrid>
      <w:tr>
        <w:tc>
          <w:tcPr>
            <w:tcW w:type="dxa" w:w="396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 m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FY2024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FY2025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9M2026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Revenue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21.8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34.6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29.1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Revenue growth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43.4%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58.7%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Gross profit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4.8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7.3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5.9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Gross margin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22.0%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21.1%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20.3%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Operating profit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2.7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4.3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3.4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Net profit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2.3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3.6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2.9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Net margin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10.6%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10.4%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10.0%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EBITDA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3.3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5.1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4.1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Total assets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11.3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17.2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21.2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Bank debt, short term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2.3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2.8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3.6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Bank debt, long term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1.2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1.2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0.6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Net worth (TNW)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4.3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7.4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10.3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Leverage (TL / TNW)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1.63x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1.32x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1.06x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Gearing (bank debt / TNW)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0.81x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0.54x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0.41x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Working capital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4.5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7.6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10.0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Current ratio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1.98x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2.09x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2.19x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Operating cash flow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0.9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1.9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0.2</w:t>
            </w:r>
          </w:p>
        </w:tc>
      </w:tr>
    </w:tbl>
    <w:p/>
    <w:p>
      <w:r>
        <w:t>Auditor: FY2025 Al Wafa Chartered Accountants, unqualified (signed 24/05/2026). 9M2026 in-house, prepared by Ahmed Fathi Saber (unaudited).</w:t>
      </w:r>
    </w:p>
    <w:p>
      <w:pPr>
        <w:spacing w:before="160"/>
      </w:pPr>
      <w:r>
        <w:rPr>
          <w:b/>
          <w:color w:val="1D3557"/>
          <w:sz w:val="22"/>
        </w:rPr>
        <w:t>9. RM's justification</w:t>
      </w:r>
    </w:p>
    <w:p>
      <w:r>
        <w:t>Revenue SAR 34.6m in FY2025 (PY 21.8m, +59%) and SAR 29.1m in 9M2026; VAT standard-rated sales of the last 4 quarters SAR 39.3m.</w:t>
      </w:r>
    </w:p>
    <w:p>
      <w:r>
        <w:t>The LG line supports the renewal of the main contract (bid due early 2027 as per RM) and two new tenders; payroll of 182 staff comes to the Bank. We recommend approval.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r>
              <w:br/>
              <w:br/>
              <w:t>______________________</w:t>
              <w:br/>
              <w:t>Hind Al-Subaie</w:t>
              <w:br/>
              <w:t>Relationship Manager</w:t>
            </w:r>
          </w:p>
        </w:tc>
        <w:tc>
          <w:tcPr>
            <w:tcW w:type="dxa" w:w="4989"/>
          </w:tcPr>
          <w:p>
            <w:r>
              <w:br/>
              <w:br/>
              <w:t>______________________</w:t>
              <w:br/>
              <w:t>Reem Al-Shehri</w:t>
              <w:br/>
              <w:t>Unit Head, SME Banking — Central Region</w:t>
            </w:r>
          </w:p>
        </w:tc>
      </w:tr>
    </w:tbl>
    <w:p>
      <w:r>
        <w:br w:type="page"/>
      </w:r>
    </w:p>
    <w:p>
      <w:pPr>
        <w:spacing w:before="160"/>
      </w:pPr>
      <w:r>
        <w:rPr>
          <w:b/>
          <w:color w:val="1D3557"/>
          <w:sz w:val="22"/>
        </w:rPr>
        <w:t>CREDIT DIVISION COMMENTS</w:t>
      </w:r>
    </w:p>
    <w:p>
      <w:r>
        <w:t>Independent review of the business request against the documents on file and the Bank's own records. Figures in SAR million unless stated; prior period in brackets.</w:t>
      </w:r>
    </w:p>
    <w:p>
      <w:pPr>
        <w:spacing w:before="160"/>
      </w:pPr>
      <w:r>
        <w:rPr>
          <w:b/>
          <w:color w:val="1D3557"/>
          <w:sz w:val="22"/>
        </w:rPr>
        <w:t>Relationship and other banks</w:t>
      </w:r>
    </w:p>
    <w:p>
      <w:r>
        <w:t>New to bank. Tihama Investment Bank is the only lender: limits SAR 7.0m, outstanding SAR 4.2m (SIMAH company report 13/10/2026, score 671, no overdue), guaranteed by the owner (SAR 4.0m). Tihama Investment Bank's offer letter and facility statement were not provided; the Murabaha is 93% utilised. With the request, bank lines would total SAR 15.0m = 1.5x net worth (SAR 10.3m at 30/09/2026).</w:t>
      </w:r>
    </w:p>
    <w:p>
      <w:r>
        <w:t>The Tihama Investment Bank account received SAR 42.5m in 12 months (37.0m excluding VAT, 94% of VAT-filed sales); no returned cheques.</w:t>
      </w:r>
    </w:p>
    <w:p>
      <w:pPr>
        <w:spacing w:before="160"/>
      </w:pPr>
      <w:r>
        <w:rPr>
          <w:b/>
          <w:color w:val="1D3557"/>
          <w:sz w:val="22"/>
        </w:rPr>
        <w:t>Concentration</w:t>
      </w:r>
    </w:p>
    <w:p>
      <w:r>
        <w:t>Rawdat Business Park Management Co. is 62% of FY2025 revenue (SAR 21.5m; 2024: 58%) under a contract expiring on 30/06/2027 (audited Note 6); it paid SAR 26.4m of the SAR 42.5m received in the Tihama Investment Bank account in the 12 months to 09/2026 (62%). The LG line is mainly for the renewal of that same contract: if it is not renewed, revenue falls by about 62% from 07/2027. The request letter presents the customers as 'reputable business-park operators' and does not name Rawdat.</w:t>
      </w:r>
    </w:p>
    <w:p>
      <w:pPr>
        <w:spacing w:before="160"/>
      </w:pPr>
      <w:r>
        <w:rPr>
          <w:b/>
          <w:color w:val="1D3557"/>
          <w:sz w:val="22"/>
        </w:rPr>
        <w:t>Owner's credit record (SIMAH)</w:t>
      </w:r>
    </w:p>
    <w:p>
      <w:r>
        <w:t>The owner's SIMAH consumer report (13/10/2026, score 541) shows a credit card at Al Rimal Commercial Bank 90+ days past due since 08/2026 (SAR 38,400 overdue of SAR 58,400 outstanding; 30 days in 06/2026, 60 in 07/2026). The AML questionnaire (11/10/2026) declares 'no adverse credit history of the company or its owners'. The amount is small; the non-disclosure and the guarantor's liquidity are not: the company transferred SAR 2.6m to the owner's personal account in 12 months and the amount due from him rose to SAR 2.1m at 30/09/2026 (FY2025 1.2m; FY2024 0.6m). The partner's SIMAH report was not obtained (consent not signed).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992"/>
        <w:gridCol w:w="1191"/>
        <w:gridCol w:w="992"/>
        <w:gridCol w:w="794"/>
        <w:gridCol w:w="2778"/>
      </w:tblGrid>
      <w:tr>
        <w:tc>
          <w:tcPr>
            <w:tcW w:type="dxa" w:w="317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Bureau (SIMAH)</w:t>
            </w:r>
          </w:p>
        </w:tc>
        <w:tc>
          <w:tcPr>
            <w:tcW w:type="dxa" w:w="992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Limits</w:t>
            </w:r>
          </w:p>
        </w:tc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Outstanding</w:t>
            </w:r>
          </w:p>
        </w:tc>
        <w:tc>
          <w:tcPr>
            <w:tcW w:type="dxa" w:w="992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Overdue</w:t>
            </w:r>
          </w:p>
        </w:tc>
        <w:tc>
          <w:tcPr>
            <w:tcW w:type="dxa" w:w="79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Score</w:t>
            </w:r>
          </w:p>
        </w:tc>
        <w:tc>
          <w:tcPr>
            <w:tcW w:type="dxa" w:w="277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Sanad Smart Facility Services Co.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7.00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7"/>
              </w:rPr>
              <w:t>4.20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0.00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7"/>
              </w:rPr>
              <w:t>671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sz w:val="17"/>
              </w:rPr>
              <w:t>Current, 24 months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Abdulaziz Saleh Al-Mutlaq (guarantor)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0.27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7"/>
              </w:rPr>
              <w:t>0.15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0.04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7"/>
              </w:rPr>
              <w:t>541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sz w:val="17"/>
              </w:rPr>
              <w:t>Credit card 90+ DPD since 08/2026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Fahad Saleh Al-Mutlaq</w:t>
            </w:r>
          </w:p>
        </w:tc>
        <w:tc>
          <w:tcPr>
            <w:tcW w:type="dxa" w:w="992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92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sz w:val="17"/>
              </w:rPr>
              <w:t>Not provided (consent not signed)</w:t>
            </w:r>
          </w:p>
        </w:tc>
      </w:tr>
    </w:tbl>
    <w:p/>
    <w:p>
      <w:pPr>
        <w:spacing w:before="160"/>
      </w:pPr>
      <w:r>
        <w:rPr>
          <w:b/>
          <w:color w:val="1D3557"/>
          <w:sz w:val="22"/>
        </w:rPr>
        <w:t>Saudisation</w:t>
      </w:r>
    </w:p>
    <w:p>
      <w:r>
        <w:t>Nitaqat Low Green at 23.1% against a 22.9% minimum (42 Saudis of 182 staff, certificate 01/10/2026): one Saudi leaving (41 of 181 = 22.7%) or two more non-Saudi hires (42 of 184 = 22.8%) drops the company to Yellow, which restricts visas and the new tenders' manpower.</w:t>
      </w:r>
    </w:p>
    <w:p>
      <w:pPr>
        <w:spacing w:before="160"/>
      </w:pPr>
      <w:r>
        <w:rPr>
          <w:b/>
          <w:color w:val="1D3557"/>
          <w:sz w:val="22"/>
        </w:rPr>
        <w:t>Financials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984"/>
        <w:gridCol w:w="1984"/>
        <w:gridCol w:w="1984"/>
      </w:tblGrid>
      <w:tr>
        <w:tc>
          <w:tcPr>
            <w:tcW w:type="dxa" w:w="396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 m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FY2024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FY2025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9M2026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Revenue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21.8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34.6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29.1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Revenue growth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43.4%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58.7%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Gross profit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4.8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7.3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5.9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Gross margin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22.0%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21.1%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20.3%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Operating profit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2.7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4.3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3.4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Net profit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2.3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3.6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2.9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Net margin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10.6%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10.4%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10.0%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EBITDA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3.3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5.1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4.1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Total assets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11.3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17.2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21.2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Bank debt, short term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2.3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2.8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3.6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Bank debt, long term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1.2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1.2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0.6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Net worth (TNW)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4.3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7.4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10.3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Leverage (TL / TNW)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1.63x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1.32x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1.06x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Gearing (bank debt / TNW)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0.81x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0.54x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0.41x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Working capital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4.5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7.6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10.0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Current ratio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1.98x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2.09x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2.19x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Operating cash flow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0.9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1.9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0.2</w:t>
            </w:r>
          </w:p>
        </w:tc>
      </w:tr>
    </w:tbl>
    <w:p/>
    <w:p>
      <w:pPr>
        <w:pStyle w:val="ListBullet"/>
      </w:pPr>
      <w:r>
        <w:t>Revenue SAR 34.6m in FY2025 (PY 21.8m, +58.7%); 9M2026 SAR 29.1m, annualised SAR 38.8m (+12.1%). FY2024 figures are compiled, not audited (auditor's other-matter paragraph of the FY2025 report, signed 24/05/2026).</w:t>
      </w:r>
    </w:p>
    <w:p>
      <w:pPr>
        <w:pStyle w:val="ListBullet"/>
      </w:pPr>
      <w:r>
        <w:t>Gross margin 21.1% (PY 22.0%), net margin 10.4% (PY 10.6%).</w:t>
      </w:r>
    </w:p>
    <w:p>
      <w:pPr>
        <w:pStyle w:val="ListBullet"/>
      </w:pPr>
      <w:r>
        <w:t>Profit is not turning into cash: receivables SAR 12.9m at 30/09/2026 (FY2025 9.8m), DSO 121 days (FY2025 103, FY2024 102) against 30-day terms and 'monthly-paying' customers; operating cash flow SAR 1.9m in FY2025 (PY 0.9m) and SAR 0.2m in 9M2026 against net profit SAR 2.9m. Receivables ageing not provided.</w:t>
      </w:r>
    </w:p>
    <w:p>
      <w:pPr>
        <w:pStyle w:val="ListBullet"/>
      </w:pPr>
      <w:r>
        <w:t>Equity movements imply distributions of SAR 1.0m (2024) and SAR 0.5m (2025) not shown as dividends; not explained.</w:t>
      </w:r>
    </w:p>
    <w:p>
      <w:pPr>
        <w:pStyle w:val="ListBullet"/>
      </w:pPr>
      <w:r>
        <w:t>If the amount due from the shareholder (SAR 2.1m) is netted off, adjusted net worth is SAR 8.2m and adjusted leverage 1.33x (reported 1.06x); the SAR 8.0m ask is 1.0x adjusted net worth.</w:t>
      </w:r>
    </w:p>
    <w:p>
      <w:pPr>
        <w:spacing w:before="160"/>
      </w:pPr>
      <w:r>
        <w:rPr>
          <w:b/>
          <w:color w:val="1D3557"/>
          <w:sz w:val="22"/>
        </w:rPr>
        <w:t>Effects of the current market situation</w:t>
      </w:r>
    </w:p>
    <w:p>
      <w:r>
        <w:t>Payroll is 58% of the account's outflows; Saudisation fees and the Low Green margin above make labour cost the main sensitivity. The two new business-park tenders are as per business; tender documents, values and dates were not provided.</w:t>
      </w:r>
    </w:p>
    <w:p>
      <w:pPr>
        <w:spacing w:before="160"/>
      </w:pPr>
      <w:r>
        <w:rPr>
          <w:b/>
          <w:color w:val="1D3557"/>
          <w:sz w:val="22"/>
        </w:rPr>
        <w:t>Exceptions and other observations</w:t>
      </w:r>
    </w:p>
    <w:p>
      <w:pPr>
        <w:pStyle w:val="ListBullet"/>
      </w:pPr>
      <w:r>
        <w:t>Exception: single customer above 50% of revenue (62%) for an unsecured SME line; business conveys the contract will be renewed, no evidence provided.</w:t>
      </w:r>
    </w:p>
    <w:p>
      <w:pPr>
        <w:pStyle w:val="ListBullet"/>
      </w:pPr>
      <w:r>
        <w:t>Exception: personal guarantee without a net-worth statement; guarantor with a 90+ DPD record.</w:t>
      </w:r>
    </w:p>
    <w:p>
      <w:pPr>
        <w:pStyle w:val="ListBullet"/>
      </w:pPr>
      <w:r>
        <w:t>Expired: Zakat certificate (valid until 30/04/2026; FY2025 certificate not provided); ID of the partner Fahad Saleh Al-Mutlaq (expired 15/08/2026).</w:t>
      </w:r>
    </w:p>
    <w:p>
      <w:pPr>
        <w:pStyle w:val="ListBullet"/>
      </w:pPr>
      <w:r>
        <w:t>Not provided: audited FY2024 accounts, owner's net-worth statement, partners' resolution, authorised signatories, receivables and payables ageing, Tihama Investment Bank's offer letter and statement, the partner's SIMAH report; site visit not yet done.</w:t>
      </w:r>
    </w:p>
    <w:p>
      <w:pPr>
        <w:pStyle w:val="ListBullet"/>
      </w:pPr>
      <w:r>
        <w:t>What business says vs what credit could verify: 'customers pay monthly' (DSO 121 days); 'no adverse credit history' (owner 90+ DPD); 'reputable business-park operators' (one operator = 62%).</w:t>
      </w:r>
    </w:p>
    <w:p>
      <w:pPr>
        <w:spacing w:before="160"/>
      </w:pPr>
      <w:r>
        <w:rPr>
          <w:b/>
          <w:color w:val="1D3557"/>
          <w:sz w:val="22"/>
        </w:rPr>
        <w:t>Key strengths</w:t>
      </w:r>
    </w:p>
    <w:p>
      <w:pPr>
        <w:pStyle w:val="ListBullet"/>
      </w:pPr>
      <w:r>
        <w:t>Revenue +59% in FY2025 confirmed by 4 quarterly VAT filings (SAR 39.3m) and statement receipts.</w:t>
      </w:r>
    </w:p>
    <w:p>
      <w:pPr>
        <w:pStyle w:val="ListBullet"/>
      </w:pPr>
      <w:r>
        <w:t>Company bureau clean: Tihama Investment Bank limits SAR 7.0m, no overdue in 24 months; interest cover 10.2x (FY2025).</w:t>
      </w:r>
    </w:p>
    <w:p>
      <w:pPr>
        <w:pStyle w:val="ListBullet"/>
      </w:pPr>
      <w:r>
        <w:t>Low capital intensity: fixed assets SAR 2.6m = 12% of total assets.</w:t>
      </w:r>
    </w:p>
    <w:p>
      <w:pPr>
        <w:spacing w:before="160"/>
      </w:pPr>
      <w:r>
        <w:rPr>
          <w:b/>
          <w:color w:val="1D3557"/>
          <w:sz w:val="22"/>
        </w:rPr>
        <w:t>CREDIT DIVISION RECOMMENDATION</w:t>
      </w:r>
    </w:p>
    <w:p>
      <w:r>
        <w:t>Credit division supports a smaller, partly secured facility of SAR 6.5m (requested SAR 8.0m) after the gaps below are closed: one customer at 62%, an undisclosed delinquency of the guarantor and DSO of 121 days do not support an unsecured overdraft of SAR 3.0m.</w:t>
      </w:r>
    </w:p>
    <w:p>
      <w:pPr>
        <w:spacing w:after="40"/>
        <w:ind w:left="340" w:hanging="283"/>
      </w:pPr>
      <w:r>
        <w:t>1. Letters of guarantee SAR 5.0m against 25% cash margin (requested 10%), for the Rawdat contract renewal and the two tenders; single LG not above SAR 2.5m.</w:t>
      </w:r>
    </w:p>
    <w:p>
      <w:pPr>
        <w:spacing w:after="40"/>
        <w:ind w:left="340" w:hanging="283"/>
      </w:pPr>
      <w:r>
        <w:t>2. Overdraft SAR 1.5m (requested 3.0m) at 3M SAIBOR + 3.00% (floor 7.00%) against assignment of the Rawdat contract proceeds to an account with the Bank.</w:t>
      </w:r>
    </w:p>
    <w:p>
      <w:pPr>
        <w:spacing w:after="40"/>
        <w:ind w:left="340" w:hanging="283"/>
      </w:pPr>
      <w:r>
        <w:t>3. Total SAR 6.5m (funded SAR 1.5m); personal guarantee of Abdulaziz Saleh Al-Mutlaq; promissory note SAR 6.5m.</w:t>
      </w:r>
    </w:p>
    <w:p>
      <w:pPr>
        <w:spacing w:after="40"/>
        <w:ind w:left="340" w:hanging="283"/>
      </w:pPr>
      <w:r>
        <w:t>4. Approval authority: SME Credit Manager.</w:t>
      </w:r>
    </w:p>
    <w:p>
      <w:r>
        <w:rPr>
          <w:b/>
        </w:rPr>
        <w:t>Additional conditions (prior to limit loading unless stated)</w:t>
      </w:r>
    </w:p>
    <w:p>
      <w:pPr>
        <w:spacing w:after="40"/>
        <w:ind w:left="340" w:hanging="283"/>
      </w:pPr>
      <w:r>
        <w:t>a) Prior to limit loading: credit card settled, with Al Rimal Commercial Bank's clearance letter and an updated SIMAH report.</w:t>
      </w:r>
    </w:p>
    <w:p>
      <w:pPr>
        <w:spacing w:after="40"/>
        <w:ind w:left="340" w:hanging="283"/>
      </w:pPr>
      <w:r>
        <w:t>b) Prior to limit loading: Zakat certificate for FY2025; the partner's valid ID; owner's net-worth statement not older than 3 months.</w:t>
      </w:r>
    </w:p>
    <w:p>
      <w:pPr>
        <w:spacing w:after="40"/>
        <w:ind w:left="340" w:hanging="283"/>
      </w:pPr>
      <w:r>
        <w:t>c) Prior to limit loading: partners' resolution, authorised signatories, receivables ageing at 30/09/2026, the partner's SIMAH consent and report.</w:t>
      </w:r>
    </w:p>
    <w:p>
      <w:pPr>
        <w:spacing w:after="40"/>
        <w:ind w:left="340" w:hanging="283"/>
      </w:pPr>
      <w:r>
        <w:t>d) Prior to limit loading: Rawdat Business Park Management Co.'s acknowledgement of the assignment and of the Bank's account for payments.</w:t>
      </w:r>
    </w:p>
    <w:p>
      <w:pPr>
        <w:spacing w:after="40"/>
        <w:ind w:left="340" w:hanging="283"/>
      </w:pPr>
      <w:r>
        <w:t>e) Prior to limit loading: RM site visit report.</w:t>
      </w:r>
    </w:p>
    <w:p>
      <w:pPr>
        <w:spacing w:after="40"/>
        <w:ind w:left="340" w:hanging="283"/>
      </w:pPr>
      <w:r>
        <w:t>f) Undertaking: no transfers to the shareholder while facilities are outstanding; due from shareholder repaid or capitalised by 31/03/2027.</w:t>
      </w:r>
    </w:p>
    <w:p>
      <w:pPr>
        <w:spacing w:after="40"/>
        <w:ind w:left="340" w:hanging="283"/>
      </w:pPr>
      <w:r>
        <w:t>g) Monitoring: Nitaqat band checked monthly by the RM; Rawdat renewal status reported by 31/03/2027; no LG beyond 30/06/2027 for Rawdat unless renewed.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br/>
              <w:br/>
              <w:t>______________________</w:t>
              <w:br/>
              <w:t>Sara Al-Dosari</w:t>
              <w:br/>
              <w:t>Credit Analyst</w:t>
            </w:r>
          </w:p>
        </w:tc>
        <w:tc>
          <w:tcPr>
            <w:tcW w:type="dxa" w:w="3326"/>
          </w:tcPr>
          <w:p>
            <w:r>
              <w:br/>
              <w:br/>
              <w:t>______________________</w:t>
              <w:br/>
              <w:t>Reem Al-Shehri</w:t>
              <w:br/>
              <w:t>VP Credit</w:t>
            </w:r>
          </w:p>
        </w:tc>
        <w:tc>
          <w:tcPr>
            <w:tcW w:type="dxa" w:w="3326"/>
          </w:tcPr>
          <w:p>
            <w:r>
              <w:br/>
              <w:br/>
              <w:t>______________________</w:t>
              <w:br/>
              <w:br/>
              <w:t>Chief Credit Officer</w:t>
            </w:r>
          </w:p>
        </w:tc>
      </w:tr>
    </w:tbl>
    <w:p>
      <w:r>
        <w:rPr>
          <w:b/>
        </w:rPr>
        <w:t>CRO review / comments</w:t>
      </w:r>
    </w:p>
    <w:p>
      <w:r>
        <w:t xml:space="preserve"> </w:t>
      </w:r>
    </w:p>
    <w:p>
      <w:r>
        <w:rPr>
          <w:b/>
        </w:rPr>
        <w:t>Credit committee approval / instructions</w:t>
      </w:r>
    </w:p>
    <w:p>
      <w:r>
        <w:t>Approval authority: SME Credit Manager.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br/>
              <w:br/>
              <w:t>______________________</w:t>
              <w:br/>
              <w:br/>
              <w:t>Chairman, Credit Committee</w:t>
            </w:r>
          </w:p>
        </w:tc>
        <w:tc>
          <w:tcPr>
            <w:tcW w:type="dxa" w:w="3326"/>
          </w:tcPr>
          <w:p>
            <w:r>
              <w:br/>
              <w:br/>
              <w:t>______________________</w:t>
              <w:br/>
              <w:br/>
              <w:t>Member</w:t>
            </w:r>
          </w:p>
        </w:tc>
        <w:tc>
          <w:tcPr>
            <w:tcW w:type="dxa" w:w="3326"/>
          </w:tcPr>
          <w:p>
            <w:r>
              <w:br/>
              <w:br/>
              <w:t>______________________</w:t>
              <w:br/>
              <w:br/>
              <w:t>Member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D3557"/>
        <w:sz w:val="24"/>
      </w:rPr>
      <w:t>Sandstone Harbour Bank</w:t>
    </w:r>
  </w:p>
  <w:p>
    <w:r>
      <w:rPr>
        <w:sz w:val="15"/>
      </w:rPr>
      <w:t>SME Banking — Central Region · business request to Credit</w:t>
    </w:r>
  </w:p>
  <w:p>
    <w:r>
      <w:rPr>
        <w:sz w:val="15"/>
      </w:rPr>
      <w:t>Credit file request CFR/SME/2026/1187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PROPOSAL — REFERENCE (BUSINESS REQUEST, CREDIT COMMENTS, RECOMMENDATION)</dc:title>
  <dc:subject/>
  <dc:creator>Sandstone Harbour Bank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