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COMMERCIAL REGISTRATION CERTIFICATE</w:t>
      </w:r>
    </w:p>
    <w:p>
      <w:r>
        <w:t>Main registration (fictional specimen)</w:t>
      </w:r>
    </w:p>
    <w:p>
      <w:r>
        <w:rPr>
          <w:sz w:val="16"/>
        </w:rPr>
        <w:t>Registration printed on 12/10/2026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Sanad Smart Facility Services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1010712290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Legal form: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Limited Liability Company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Riyadh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Activity: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Facility management services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10/03/2019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Expiry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09/03/2027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Capital: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1,000,000</w:t>
            </w:r>
          </w:p>
        </w:tc>
      </w:tr>
    </w:tbl>
    <w:p>
      <w:pPr>
        <w:spacing w:before="160"/>
      </w:pPr>
      <w:r>
        <w:rPr>
          <w:b/>
          <w:color w:val="1F5A3D"/>
          <w:sz w:val="22"/>
        </w:rPr>
        <w:t>Owners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45"/>
        <w:gridCol w:w="2976"/>
      </w:tblGrid>
      <w:tr>
        <w:tc>
          <w:tcPr>
            <w:tcW w:type="dxa" w:w="694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Abdulaziz Saleh Al-Mutlaq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90.0%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Fahad Saleh Al-Mutlaq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10.0%</w:t>
            </w:r>
          </w:p>
        </w:tc>
      </w:tr>
    </w:tbl>
    <w:p/>
    <w:p>
      <w:pPr>
        <w:spacing w:before="160"/>
      </w:pPr>
      <w:r>
        <w:rPr>
          <w:b/>
          <w:color w:val="1F5A3D"/>
          <w:sz w:val="22"/>
        </w:rPr>
        <w:t>Managers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3969"/>
      </w:tblGrid>
      <w:tr>
        <w:tc>
          <w:tcPr>
            <w:tcW w:type="dxa" w:w="595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396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Role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>
              <w:rPr>
                <w:sz w:val="17"/>
              </w:rPr>
              <w:t>Abdulaziz Saleh Al-Mutlaq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General Manager</w:t>
            </w:r>
          </w:p>
        </w:tc>
      </w:tr>
    </w:tbl>
    <w:p/>
    <w:p>
      <w:r>
        <w:rPr>
          <w:b/>
          <w:color w:val="1F5A3D"/>
        </w:rPr>
        <w:t>[ VALID REGISTRATION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Commercial Register (specimen)</w:t>
    </w:r>
  </w:p>
  <w:p>
    <w:r>
      <w:rPr>
        <w:sz w:val="15"/>
      </w:rPr>
      <w:t>Riyadh registry office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REGISTRATION CERTIFICATE</dc:title>
  <dc:subject/>
  <dc:creator>Commercial Register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