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COMMERCIAL CREDIT REPORT</w:t>
      </w:r>
    </w:p>
    <w:p>
      <w:r>
        <w:t>Sanad Smart Facility Services Co.</w:t>
      </w:r>
    </w:p>
    <w:p>
      <w:r>
        <w:rPr>
          <w:sz w:val="16"/>
        </w:rPr>
        <w:t>Report SB-26-3302255 dated 13/10/2026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13/10/2026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SB-26-3302255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671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7,000,000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4,200,000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Number of lenders: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Defaults: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Enquiries (last 6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389"/>
        <w:gridCol w:w="1091"/>
        <w:gridCol w:w="1191"/>
        <w:gridCol w:w="893"/>
        <w:gridCol w:w="1091"/>
        <w:gridCol w:w="992"/>
        <w:gridCol w:w="1687"/>
      </w:tblGrid>
      <w:tr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Opened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Tihama Investment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SME term loan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4,000,000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1,400,000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01/05/2023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Tihama Investment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Short-term Murabaha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3,000,000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2,800,000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15/09/2024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No delinquency on the company's facilities in the last 24 months.</w:t>
      </w:r>
    </w:p>
    <w:p>
      <w:pPr>
        <w:spacing w:before="160"/>
      </w:pPr>
      <w:r>
        <w:rPr>
          <w:b/>
          <w:color w:val="0B5563"/>
          <w:sz w:val="22"/>
        </w:rPr>
        <w:t>Enquiries</w:t>
      </w:r>
    </w:p>
    <w:p>
      <w:r>
        <w:t>1 enquiry in the last 6 months: Sandstone Harbour Bank (10/2026).</w:t>
      </w:r>
    </w:p>
    <w:p>
      <w:pPr>
        <w:spacing w:before="160"/>
      </w:pPr>
      <w:r>
        <w:rPr>
          <w:b/>
          <w:color w:val="0B5563"/>
          <w:sz w:val="22"/>
        </w:rPr>
        <w:t>Legal and court records</w:t>
      </w:r>
    </w:p>
    <w:p>
      <w:r>
        <w:t>None recorded.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Commercial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COMMERCIAL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