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4653"/>
          <w:sz w:val="30"/>
        </w:rPr>
        <w:t>MANAGEMENT ACCOUNTS (UNAUDITED) — 9 MONTHS 2026</w:t>
      </w:r>
    </w:p>
    <w:p>
      <w:r>
        <w:t>Sanad Smart Facility Services Co.</w:t>
      </w:r>
    </w:p>
    <w:p>
      <w:r>
        <w:rPr>
          <w:sz w:val="16"/>
        </w:rPr>
        <w:t>Period 01/01/2026 – 30/09/2026</w:t>
      </w:r>
    </w:p>
    <w:p>
      <w:pPr>
        <w:spacing w:before="160"/>
      </w:pPr>
      <w:r>
        <w:rPr>
          <w:b/>
          <w:color w:val="26465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Sanad Smart Facility Services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1010712290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from: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01/01/2026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to: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30/09/2026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Prepared by: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Ahmed Fathi Saber</w:t>
            </w:r>
          </w:p>
        </w:tc>
      </w:tr>
    </w:tbl>
    <w:p>
      <w:r>
        <w:t>Unaudited management accounts prepared by the company's finance department. Subject to year-end audit adjustments.</w:t>
      </w:r>
    </w:p>
    <w:p>
      <w:pPr>
        <w:spacing w:before="160"/>
      </w:pPr>
      <w:r>
        <w:rPr>
          <w:b/>
          <w:color w:val="264653"/>
          <w:sz w:val="22"/>
        </w:rPr>
        <w:t>Profit or loss, 1 January – 30 September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48"/>
        <w:gridCol w:w="3373"/>
      </w:tblGrid>
      <w:tr>
        <w:tc>
          <w:tcPr>
            <w:tcW w:type="dxa" w:w="654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  <w:tc>
          <w:tcPr>
            <w:tcW w:type="dxa" w:w="337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9M2026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Revenue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29,100,000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Cost of revenue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23,200,000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Gross profit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5,900,000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Operating expenses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2,500,000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Operating profit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3,400,000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Finance cost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500,000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Net profit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2,900,000</w:t>
            </w:r>
          </w:p>
        </w:tc>
      </w:tr>
    </w:tbl>
    <w:p/>
    <w:p>
      <w:pPr>
        <w:spacing w:before="160"/>
      </w:pPr>
      <w:r>
        <w:rPr>
          <w:b/>
          <w:color w:val="264653"/>
          <w:sz w:val="22"/>
        </w:rPr>
        <w:t>Balance sheet at 30 September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48"/>
        <w:gridCol w:w="3373"/>
      </w:tblGrid>
      <w:tr>
        <w:tc>
          <w:tcPr>
            <w:tcW w:type="dxa" w:w="654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  <w:tc>
          <w:tcPr>
            <w:tcW w:type="dxa" w:w="337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30/09/2026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Cash and bank balances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1,400,000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Trade receivables, net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12,900,000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Inventories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700,000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Due from related parties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2,100,000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Prepayments and other current assets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1,300,000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Total current assets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18,400,000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Property, plant and equipment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2,600,000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Other non-current assets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200,000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Total assets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21,200,000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Short-term borrowings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2,800,000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Trade payables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3,600,000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Accruals and other current liabilities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1,200,000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Current portion of long-term borrowings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800,000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Total current liabilities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8,400,000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Long-term borrowings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600,000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Employees' end-of-service benefits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1,900,000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Total liabilities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10,900,000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Share capital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1,000,000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Statutory reserve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500,000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Retained earnings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8,800,000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Total equity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10,300,000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Total liabilities and equity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21,200,000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r>
              <w:br/>
              <w:br/>
              <w:t>______________________</w:t>
              <w:br/>
              <w:t>Ahmed Fathi Saber</w:t>
              <w:br/>
              <w:t>Finance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264653"/>
        <w:sz w:val="24"/>
      </w:rPr>
      <w:t>Sanad Smart Facility Services Co.</w:t>
    </w:r>
  </w:p>
  <w:p>
    <w:r>
      <w:rPr>
        <w:sz w:val="15"/>
      </w:rPr>
      <w:t>CR 1010712290 · VAT 301010712200003 · Office 12, Al Ghadir Business Centre, King Abdulaziz Road, Riyadh 13311</w:t>
    </w:r>
  </w:p>
  <w:p>
    <w:r>
      <w:rPr>
        <w:sz w:val="15"/>
      </w:rPr>
      <w:t>Tel +966 11 510 3328 · admin@sanad-fm.example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MANAGEMENT ACCOUNTS (UNAUDITED) — 9 MONTHS 2026</dc:title>
  <dc:subject/>
  <dc:creator>Sanad Smart Facility Services Co.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