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CREDIT PROPOSAL — CORPORATE BANKING GROUP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/>
            <w:r>
              <w:rPr>
                <w:b/>
                <w:sz w:val="16"/>
              </w:rPr>
              <w:t>Branch / unit</w:t>
            </w:r>
          </w:p>
        </w:tc>
        <w:tc>
          <w:tcPr>
            <w:tcW w:type="dxa" w:w="2550"/>
          </w:tcPr>
          <w:p>
            <w:r/>
            <w:r>
              <w:rPr>
                <w:b/>
                <w:sz w:val="16"/>
              </w:rPr>
              <w:t>Dammam Corporate Centre</w:t>
            </w:r>
          </w:p>
        </w:tc>
        <w:tc>
          <w:tcPr>
            <w:tcW w:type="dxa" w:w="2550"/>
          </w:tcPr>
          <w:p>
            <w:r/>
            <w:r>
              <w:rPr>
                <w:b/>
                <w:sz w:val="16"/>
              </w:rPr>
              <w:t>Customer</w:t>
            </w:r>
          </w:p>
        </w:tc>
        <w:tc>
          <w:tcPr>
            <w:tcW w:type="dxa" w:w="2550"/>
          </w:tcPr>
          <w:p>
            <w:r/>
            <w:r>
              <w:rPr>
                <w:b/>
                <w:sz w:val="16"/>
              </w:rPr>
              <w:t>Ruwaq Gulf Contracting Company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Date account opened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6 Mar 2011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CIF / base no.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CIF-0074412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Group no.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GRP-1377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Group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Ruwaq Holding Group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Related / connected party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12 Oct 2026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AO / RO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Tariq Al-Mansouri / Bader Al-Qahtani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Purpose code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P34 Contracting guarantees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Request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[ ] New [ ] Existing [x] Renewal [x] Additional [ ] Amendment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Review date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31 Oct 2027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Industry code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F4100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Collateral code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CG / RE / ASG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Rating existing / proposed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BB / BB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RM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Tariq Al-Mansouri</w:t>
            </w:r>
          </w:p>
        </w:tc>
      </w:tr>
    </w:tbl>
    <w:p/>
    <w:p>
      <w:pPr>
        <w:pStyle w:val="Heading2"/>
      </w:pPr>
      <w:r>
        <w:rPr>
          <w:rFonts w:ascii="Arial" w:hAnsi="Arial"/>
          <w:sz w:val="21"/>
        </w:rPr>
        <w:t>2. Action requested</w:t>
      </w:r>
    </w:p>
    <w:p>
      <w:r>
        <w:rPr>
          <w:b w:val="0"/>
        </w:rPr>
        <w:t>Business requests approval, as at 12 Oct 2026, to renew the total limits of SAR 150.0m approved by CC-2025-207 on 22 Oct 2025 and to increase them to SAR 190.0m: renew the overdraft of SAR 20.0m and project limit 1 of SAR 60.0m, reduce project limit 2 from SAR 40.0m to SAR 30.0m, increase the general LG line from SAR 30.0m to SAR 40.0m and approve a new line of SAR 40.0m of finance against certified payment certificates; group exposure cap from SAR 200.0m to SAR 240.0m.</w:t>
      </w:r>
    </w:p>
    <w:p>
      <w:r>
        <w:rPr>
          <w:b w:val="0"/>
        </w:rPr>
        <w:t>All conditions of the last approval (CC-2025-207) have been complied with.</w:t>
      </w:r>
    </w:p>
    <w:p>
      <w:pPr>
        <w:pStyle w:val="Heading2"/>
      </w:pPr>
      <w:r>
        <w:rPr>
          <w:rFonts w:ascii="Arial" w:hAnsi="Arial"/>
          <w:sz w:val="21"/>
        </w:rPr>
        <w:t>3. Facilities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3175"/>
          </w:tcPr>
          <w:p>
            <w:r/>
            <w:r>
              <w:rPr>
                <w:b/>
                <w:sz w:val="16"/>
              </w:rPr>
              <w:t>Limit / sub-limit</w:t>
            </w:r>
          </w:p>
        </w:tc>
        <w:tc>
          <w:tcPr>
            <w:tcW w:type="dxa" w:w="907"/>
          </w:tcPr>
          <w:p>
            <w:r/>
            <w:r>
              <w:rPr>
                <w:b/>
                <w:sz w:val="16"/>
              </w:rPr>
              <w:t>Existing</w:t>
            </w:r>
          </w:p>
        </w:tc>
        <w:tc>
          <w:tcPr>
            <w:tcW w:type="dxa" w:w="1020"/>
          </w:tcPr>
          <w:p>
            <w:r/>
            <w:r>
              <w:rPr>
                <w:b/>
                <w:sz w:val="16"/>
              </w:rPr>
              <w:t>Outstanding</w:t>
            </w:r>
          </w:p>
        </w:tc>
        <w:tc>
          <w:tcPr>
            <w:tcW w:type="dxa" w:w="907"/>
          </w:tcPr>
          <w:p>
            <w:r/>
            <w:r>
              <w:rPr>
                <w:b/>
                <w:sz w:val="16"/>
              </w:rPr>
              <w:t>Proposed</w:t>
            </w:r>
          </w:p>
        </w:tc>
        <w:tc>
          <w:tcPr>
            <w:tcW w:type="dxa" w:w="907"/>
          </w:tcPr>
          <w:p>
            <w:r/>
            <w:r>
              <w:rPr>
                <w:b/>
                <w:sz w:val="16"/>
              </w:rPr>
              <w:t>Cash margin</w:t>
            </w:r>
          </w:p>
        </w:tc>
        <w:tc>
          <w:tcPr>
            <w:tcW w:type="dxa" w:w="2948"/>
          </w:tcPr>
          <w:p>
            <w:r/>
            <w:r>
              <w:rPr>
                <w:b/>
                <w:sz w:val="16"/>
              </w:rPr>
              <w:t>Pricing / tenor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 w:val="0"/>
                <w:sz w:val="16"/>
              </w:rPr>
              <w:t>Overdraft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6"/>
              </w:rPr>
              <w:t>20.0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17.5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6"/>
              </w:rPr>
              <w:t>20.0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6"/>
              </w:rPr>
              <w:t>–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6"/>
              </w:rPr>
              <w:t>3M SAIBOR + 2.25%, floor 6.00%; 12 months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 w:val="0"/>
                <w:sz w:val="16"/>
              </w:rPr>
              <w:t>Project limit 1: Al Bariq Residences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6"/>
              </w:rPr>
              <w:t>60.0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52.0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6"/>
              </w:rPr>
              <w:t>60.0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6"/>
              </w:rPr>
              <w:t>–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6"/>
              </w:rPr>
              <w:t>To completion + 12 months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 w:val="0"/>
                <w:sz w:val="16"/>
              </w:rPr>
              <w:t xml:space="preserve">  of which performance and advance-payment LGs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6"/>
              </w:rPr>
              <w:t>60.0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52.0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6"/>
              </w:rPr>
              <w:t>60.0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6"/>
              </w:rPr>
              <w:t>10%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6"/>
              </w:rPr>
              <w:t>Commission 0.90% p.a.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 w:val="0"/>
                <w:sz w:val="16"/>
              </w:rPr>
              <w:t>Project limit 2: Eastern Schools Package 2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6"/>
              </w:rPr>
              <w:t>40.0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33.0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6"/>
              </w:rPr>
              <w:t>30.0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6"/>
              </w:rPr>
              <w:t>–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6"/>
              </w:rPr>
              <w:t>To completion + 12 months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 w:val="0"/>
                <w:sz w:val="16"/>
              </w:rPr>
              <w:t xml:space="preserve">  of which performance LGs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6"/>
              </w:rPr>
              <w:t>40.0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33.0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6"/>
              </w:rPr>
              <w:t>30.0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6"/>
              </w:rPr>
              <w:t>10%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6"/>
              </w:rPr>
              <w:t>Commission 0.90% p.a.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 w:val="0"/>
                <w:sz w:val="16"/>
              </w:rPr>
              <w:t>General LG line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6"/>
              </w:rPr>
              <w:t>30.0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25.5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6"/>
              </w:rPr>
              <w:t>40.0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6"/>
              </w:rPr>
              <w:t>10%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6"/>
              </w:rPr>
              <w:t>Commission 0.85% p.a.; up to 24 months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 w:val="0"/>
                <w:sz w:val="16"/>
              </w:rPr>
              <w:t>Finance against certified payment certificates (new)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6"/>
              </w:rPr>
              <w:t>0.0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0.0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6"/>
              </w:rPr>
              <w:t>40.0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6"/>
              </w:rPr>
              <w:t>–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6"/>
              </w:rPr>
              <w:t>3M SAIBOR + 1.50%, floor 5.50%; 120 days per drawing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/>
                <w:sz w:val="16"/>
              </w:rPr>
              <w:t>Total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6"/>
              </w:rPr>
              <w:t>150.0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128.0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6"/>
              </w:rPr>
              <w:t>190.0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6"/>
              </w:rPr>
            </w:r>
          </w:p>
        </w:tc>
      </w:tr>
    </w:tbl>
    <w:p/>
    <w:p>
      <w:r>
        <w:rPr>
          <w:b w:val="0"/>
        </w:rPr>
        <w:t>Study and documentation fee of SAR 0.08m (20 bps on the new line) payable on approval, as at 12 Oct 2026.</w:t>
      </w:r>
    </w:p>
    <w:p>
      <w:pPr>
        <w:pStyle w:val="Heading2"/>
      </w:pPr>
      <w:r>
        <w:rPr>
          <w:rFonts w:ascii="Arial" w:hAnsi="Arial"/>
          <w:sz w:val="21"/>
        </w:rPr>
        <w:t>4. Security and support</w:t>
      </w:r>
    </w:p>
    <w:p>
      <w:r>
        <w:rPr>
          <w:b w:val="0"/>
        </w:rPr>
        <w:t>Personal guarantee of Sultan Hamad Al-Ruwaqi for SAR 190.0m, net worth SAR 410.0m per statement dated 31 Mar 2026.</w:t>
      </w:r>
    </w:p>
    <w:p>
      <w:r>
        <w:rPr>
          <w:b w:val="0"/>
        </w:rPr>
        <w:t>Corporate guarantee of Ruwaq Holding Company for SAR 190.0m, net worth SAR 260.0m at 31 Dec 2025.</w:t>
      </w:r>
    </w:p>
    <w:p>
      <w:r>
        <w:rPr>
          <w:b w:val="0"/>
        </w:rPr>
        <w:t>Mortgage over land in Dammam 2nd Industrial City valued at SAR 95.0m per a recent valuation.</w:t>
      </w:r>
    </w:p>
    <w:p>
      <w:r>
        <w:rPr>
          <w:b w:val="0"/>
        </w:rPr>
        <w:t>Assignment of Al Bariq Residences proceeds (SAR 210.0m) and an undated security cheque for SAR 190.0m.</w:t>
      </w:r>
    </w:p>
    <w:p>
      <w:r>
        <w:rPr>
          <w:b w:val="0"/>
        </w:rPr>
        <w:t>All security is perfected and in place.</w:t>
      </w:r>
    </w:p>
    <w:p>
      <w:pPr>
        <w:pStyle w:val="Heading2"/>
      </w:pPr>
      <w:r>
        <w:rPr>
          <w:rFonts w:ascii="Arial" w:hAnsi="Arial"/>
          <w:sz w:val="21"/>
        </w:rPr>
        <w:t>5. Terms and conditions</w:t>
      </w:r>
    </w:p>
    <w:p>
      <w:r>
        <w:rPr>
          <w:b w:val="0"/>
        </w:rPr>
        <w:t>1. Finance against certified payment certificates at 80% of the certified amount; the last certificate of each project is not financed.</w:t>
      </w:r>
    </w:p>
    <w:p>
      <w:r>
        <w:rPr>
          <w:b w:val="0"/>
        </w:rPr>
        <w:t>2. Employer payments received in the collection account with the bank and applied first to the related drawing.</w:t>
      </w:r>
    </w:p>
    <w:p>
      <w:r>
        <w:rPr>
          <w:b w:val="0"/>
        </w:rPr>
        <w:t>3. Audited statements within 120 days of year end; interim statements within 60 days of the half year.</w:t>
      </w:r>
    </w:p>
    <w:p>
      <w:r>
        <w:rPr>
          <w:b w:val="0"/>
        </w:rPr>
        <w:t>4. No LGs or funded drawings in favour of related parties.</w:t>
      </w:r>
    </w:p>
    <w:p>
      <w:r>
        <w:rPr>
          <w:b w:val="0"/>
        </w:rPr>
        <w:t>5. Standard covenants as per the bank's practice.</w:t>
      </w:r>
    </w:p>
    <w:p>
      <w:pPr>
        <w:pStyle w:val="Heading2"/>
      </w:pPr>
      <w:r>
        <w:rPr>
          <w:rFonts w:ascii="Arial" w:hAnsi="Arial"/>
          <w:sz w:val="21"/>
        </w:rPr>
        <w:t>6. Group exposure and references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/>
            <w:r>
              <w:rPr>
                <w:b/>
                <w:sz w:val="16"/>
              </w:rPr>
              <w:t>Entity</w:t>
            </w:r>
          </w:p>
        </w:tc>
        <w:tc>
          <w:tcPr>
            <w:tcW w:type="dxa" w:w="2550"/>
          </w:tcPr>
          <w:p>
            <w:r/>
            <w:r>
              <w:rPr>
                <w:b/>
                <w:sz w:val="16"/>
              </w:rPr>
              <w:t>Total existing</w:t>
            </w:r>
          </w:p>
        </w:tc>
        <w:tc>
          <w:tcPr>
            <w:tcW w:type="dxa" w:w="2550"/>
          </w:tcPr>
          <w:p>
            <w:r/>
            <w:r>
              <w:rPr>
                <w:b/>
                <w:sz w:val="16"/>
              </w:rPr>
              <w:t>Total proposed</w:t>
            </w:r>
          </w:p>
        </w:tc>
        <w:tc>
          <w:tcPr>
            <w:tcW w:type="dxa" w:w="2550"/>
          </w:tcPr>
          <w:p>
            <w:r/>
            <w:r>
              <w:rPr>
                <w:b/>
                <w:sz w:val="16"/>
              </w:rPr>
              <w:t>Outstanding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Ruwaq Gulf Contracting Company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150.0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190.0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128.0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Ruwaq Ready-Mix Company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22.0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22.0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19.5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Ruwaq Real Estate Development Company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14.0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14.0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14.0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Ruwaq Holding Company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0.0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0.0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0.0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/>
                <w:sz w:val="16"/>
              </w:rPr>
              <w:t>Total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186.0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250.0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161.5</w:t>
            </w:r>
          </w:p>
        </w:tc>
      </w:tr>
    </w:tbl>
    <w:p/>
    <w:p>
      <w:r>
        <w:rPr>
          <w:b w:val="0"/>
        </w:rPr>
        <w:t>References: CC-2025-207 of 22 Oct 2025 (renewal at SAR 150.0m, group cap SAR 200.0m); CC-2024-163 of 17 Oct 2024 (general LG line raised to SAR 30.0m).</w:t>
      </w:r>
    </w:p>
    <w:p>
      <w:pPr>
        <w:pStyle w:val="Heading2"/>
      </w:pPr>
      <w:r>
        <w:rPr>
          <w:rFonts w:ascii="Arial" w:hAnsi="Arial"/>
          <w:sz w:val="21"/>
        </w:rPr>
        <w:t>7. Background and ownership</w:t>
      </w:r>
    </w:p>
    <w:p>
      <w:r>
        <w:rPr>
          <w:b w:val="0"/>
        </w:rPr>
        <w:t>Trade licence CR-2050-7781: incorporated on 15 Nov 2009 in Dammam as an LLC; building and infrastructure contracting (grade 2); licence valid to 31 Mar 2027.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/>
            <w:r>
              <w:rPr>
                <w:b/>
                <w:sz w:val="16"/>
              </w:rPr>
              <w:t>Shareholder of Ruwaq Holding Company</w:t>
            </w:r>
          </w:p>
        </w:tc>
        <w:tc>
          <w:tcPr>
            <w:tcW w:type="dxa" w:w="2040"/>
          </w:tcPr>
          <w:p>
            <w:r/>
            <w:r>
              <w:rPr>
                <w:b/>
                <w:sz w:val="16"/>
              </w:rPr>
              <w:t>Born</w:t>
            </w:r>
          </w:p>
        </w:tc>
        <w:tc>
          <w:tcPr>
            <w:tcW w:type="dxa" w:w="2040"/>
          </w:tcPr>
          <w:p>
            <w:r/>
            <w:r>
              <w:rPr>
                <w:b/>
                <w:sz w:val="16"/>
              </w:rPr>
              <w:t>Nationality</w:t>
            </w:r>
          </w:p>
        </w:tc>
        <w:tc>
          <w:tcPr>
            <w:tcW w:type="dxa" w:w="2040"/>
          </w:tcPr>
          <w:p>
            <w:r/>
            <w:r>
              <w:rPr>
                <w:b/>
                <w:sz w:val="16"/>
              </w:rPr>
              <w:t>Share</w:t>
            </w:r>
          </w:p>
        </w:tc>
        <w:tc>
          <w:tcPr>
            <w:tcW w:type="dxa" w:w="2040"/>
          </w:tcPr>
          <w:p>
            <w:r/>
            <w:r>
              <w:rPr>
                <w:b/>
                <w:sz w:val="16"/>
              </w:rPr>
              <w:t>UBO</w:t>
            </w:r>
          </w:p>
        </w:tc>
      </w:tr>
      <w:tr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Sultan Hamad Al-Ruwaqi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1961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Saudi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70%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Yes</w:t>
            </w:r>
          </w:p>
        </w:tc>
      </w:tr>
      <w:tr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Huda Sultan Al-Ruwaqi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1988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Saudi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30%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Yes</w:t>
            </w:r>
          </w:p>
        </w:tc>
      </w:tr>
    </w:tbl>
    <w:p/>
    <w:p>
      <w:r>
        <w:rPr>
          <w:b w:val="0"/>
        </w:rPr>
        <w:t>Group entities: Ruwaq Holding Company (parent), Ruwaq Ready-Mix Company (concrete supply, 30% of purchases), Ruwaq Real Estate Development Company (residential development). Activity mix FY2025: residential buildings 61% (FY2024 58%), education and public buildings 39%; 1,180 staff.</w:t>
      </w:r>
    </w:p>
    <w:p>
      <w:r>
        <w:rPr>
          <w:b w:val="0"/>
        </w:rPr>
        <w:t>Sales are on usual market terms with the employers. The group is well established in the Eastern Province.</w:t>
      </w:r>
    </w:p>
    <w:p>
      <w:pPr>
        <w:pStyle w:val="Heading2"/>
      </w:pPr>
      <w:r>
        <w:rPr>
          <w:rFonts w:ascii="Arial" w:hAnsi="Arial"/>
          <w:sz w:val="21"/>
        </w:rPr>
        <w:t>8. Relationship with the bank</w:t>
      </w:r>
    </w:p>
    <w:p>
      <w:r>
        <w:rPr>
          <w:b w:val="0"/>
        </w:rPr>
        <w:t>The relationship dates from 6 Mar 2011 (CIF-0074412); limits of SAR 150.0m approved by CC-2025-207 on 22 Oct 2025, utilisation 78–92% of limits in 2026.</w:t>
      </w:r>
    </w:p>
    <w:p>
      <w:r>
        <w:rPr>
          <w:b w:val="0"/>
        </w:rPr>
        <w:t>Account turnover through our accounts of SAR 417.4m in the last 12 months, reflecting the group's growing business.</w:t>
      </w:r>
    </w:p>
    <w:p>
      <w:r>
        <w:rPr>
          <w:b w:val="0"/>
        </w:rPr>
        <w:t>No cheques were returned in the last 12 months. The relationship has been satisfactory.</w:t>
      </w:r>
    </w:p>
    <w:p>
      <w:pPr>
        <w:pStyle w:val="Heading2"/>
      </w:pPr>
      <w:r>
        <w:rPr>
          <w:rFonts w:ascii="Arial" w:hAnsi="Arial"/>
          <w:sz w:val="21"/>
        </w:rPr>
        <w:t>10. Central bank risk bureau (CBRBR)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/>
            <w:r>
              <w:rPr>
                <w:b/>
                <w:sz w:val="16"/>
              </w:rPr>
              <w:t>Entity</w:t>
            </w:r>
          </w:p>
        </w:tc>
        <w:tc>
          <w:tcPr>
            <w:tcW w:type="dxa" w:w="2040"/>
          </w:tcPr>
          <w:p>
            <w:r/>
            <w:r>
              <w:rPr>
                <w:b/>
                <w:sz w:val="16"/>
              </w:rPr>
              <w:t>Funded limit / o/s</w:t>
            </w:r>
          </w:p>
        </w:tc>
        <w:tc>
          <w:tcPr>
            <w:tcW w:type="dxa" w:w="2040"/>
          </w:tcPr>
          <w:p>
            <w:r/>
            <w:r>
              <w:rPr>
                <w:b/>
                <w:sz w:val="16"/>
              </w:rPr>
              <w:t>Non-funded limit / o/s</w:t>
            </w:r>
          </w:p>
        </w:tc>
        <w:tc>
          <w:tcPr>
            <w:tcW w:type="dxa" w:w="2040"/>
          </w:tcPr>
          <w:p>
            <w:r/>
            <w:r>
              <w:rPr>
                <w:b/>
                <w:sz w:val="16"/>
              </w:rPr>
              <w:t>Banks</w:t>
            </w:r>
          </w:p>
        </w:tc>
        <w:tc>
          <w:tcPr>
            <w:tcW w:type="dxa" w:w="2040"/>
          </w:tcPr>
          <w:p>
            <w:r/>
            <w:r>
              <w:rPr>
                <w:b/>
                <w:sz w:val="16"/>
              </w:rPr>
              <w:t>Classification</w:t>
            </w:r>
          </w:p>
        </w:tc>
      </w:tr>
      <w:tr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Ruwaq Gulf Contracting Company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110.0 / 92.0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210.0 / 168.0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Regular</w:t>
            </w:r>
          </w:p>
        </w:tc>
      </w:tr>
      <w:tr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Ruwaq Ready-Mix Company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40.0 / 31.0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10.0 / 8.0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Regular</w:t>
            </w:r>
          </w:p>
        </w:tc>
      </w:tr>
      <w:tr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Ruwaq Real Estate Development Company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35.0 / 31.0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0.0 / 0.0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Watch</w:t>
            </w:r>
          </w:p>
        </w:tc>
      </w:tr>
    </w:tbl>
    <w:p/>
    <w:p>
      <w:r>
        <w:rPr>
          <w:b w:val="0"/>
        </w:rPr>
        <w:t>CBRBR report dated 30 Sep 2026; the real estate sister company is on the watch list of its bank.</w:t>
      </w:r>
    </w:p>
    <w:p>
      <w:pPr>
        <w:pStyle w:val="Heading2"/>
      </w:pPr>
      <w:r>
        <w:rPr>
          <w:rFonts w:ascii="Arial" w:hAnsi="Arial"/>
          <w:sz w:val="21"/>
        </w:rPr>
        <w:t>11. Credit bureau (SIMAH)</w:t>
      </w:r>
    </w:p>
    <w:p>
      <w:r>
        <w:rPr>
          <w:b w:val="0"/>
        </w:rPr>
        <w:t>SIMAH reports of the company dated 6 Oct 2026 show 9 facilities and SAR 286.0m outstanding with no overdue.</w:t>
      </w:r>
    </w:p>
    <w:p>
      <w:r>
        <w:rPr>
          <w:b w:val="0"/>
        </w:rPr>
        <w:t>The SIMAH reports of the shareholders are clear with no adverse remarks.</w:t>
      </w:r>
    </w:p>
    <w:p>
      <w:pPr>
        <w:pStyle w:val="Heading2"/>
      </w:pPr>
      <w:r>
        <w:rPr>
          <w:rFonts w:ascii="Arial" w:hAnsi="Arial"/>
          <w:sz w:val="21"/>
        </w:rPr>
        <w:t>12. Other banks' facilities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/>
            <w:r>
              <w:rPr>
                <w:b/>
                <w:sz w:val="16"/>
              </w:rPr>
              <w:t>Bank</w:t>
            </w:r>
          </w:p>
        </w:tc>
        <w:tc>
          <w:tcPr>
            <w:tcW w:type="dxa" w:w="2550"/>
          </w:tcPr>
          <w:p>
            <w:r/>
            <w:r>
              <w:rPr>
                <w:b/>
                <w:sz w:val="16"/>
              </w:rPr>
              <w:t>Facilities</w:t>
            </w:r>
          </w:p>
        </w:tc>
        <w:tc>
          <w:tcPr>
            <w:tcW w:type="dxa" w:w="2550"/>
          </w:tcPr>
          <w:p>
            <w:r/>
            <w:r>
              <w:rPr>
                <w:b/>
                <w:sz w:val="16"/>
              </w:rPr>
              <w:t>Limit</w:t>
            </w:r>
          </w:p>
        </w:tc>
        <w:tc>
          <w:tcPr>
            <w:tcW w:type="dxa" w:w="2550"/>
          </w:tcPr>
          <w:p>
            <w:r/>
            <w:r>
              <w:rPr>
                <w:b/>
                <w:sz w:val="16"/>
              </w:rPr>
              <w:t>Outstanding (declared / bureau)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Coastal Commerce Bank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PB; APG; OD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90.0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71.0 / 72.0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Red Sea Investment Bank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LC; STL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40.0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28.0 / 29.5</w:t>
            </w:r>
          </w:p>
        </w:tc>
      </w:tr>
    </w:tbl>
    <w:p/>
    <w:p>
      <w:r>
        <w:rPr>
          <w:b w:val="0"/>
        </w:rPr>
        <w:t>Declared facilities agree with the bureau within SAR 1.5m at 30 Sep 2026.</w:t>
      </w:r>
    </w:p>
    <w:p>
      <w:pPr>
        <w:pStyle w:val="Heading2"/>
      </w:pPr>
      <w:r>
        <w:rPr>
          <w:rFonts w:ascii="Arial" w:hAnsi="Arial"/>
          <w:sz w:val="21"/>
        </w:rPr>
        <w:t>13. New project details and cash flow</w:t>
      </w:r>
    </w:p>
    <w:p>
      <w:r>
        <w:rPr>
          <w:b w:val="0"/>
        </w:rPr>
        <w:t>Not applicable: no new project is financed in this request (12 Oct 2026); the new line finances certified certificates of the 2 existing projects.</w:t>
      </w:r>
    </w:p>
    <w:p>
      <w:pPr>
        <w:pStyle w:val="Heading2"/>
      </w:pPr>
      <w:r>
        <w:rPr>
          <w:rFonts w:ascii="Arial" w:hAnsi="Arial"/>
          <w:sz w:val="21"/>
        </w:rPr>
        <w:t>14. Financials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/>
            <w:r>
              <w:rPr>
                <w:b/>
                <w:sz w:val="16"/>
              </w:rPr>
              <w:t>SAR m</w:t>
            </w:r>
          </w:p>
        </w:tc>
        <w:tc>
          <w:tcPr>
            <w:tcW w:type="dxa" w:w="2040"/>
          </w:tcPr>
          <w:p>
            <w:r/>
            <w:r>
              <w:rPr>
                <w:b/>
                <w:sz w:val="16"/>
              </w:rPr>
              <w:t>FY2023</w:t>
            </w:r>
          </w:p>
        </w:tc>
        <w:tc>
          <w:tcPr>
            <w:tcW w:type="dxa" w:w="2040"/>
          </w:tcPr>
          <w:p>
            <w:r/>
            <w:r>
              <w:rPr>
                <w:b/>
                <w:sz w:val="16"/>
              </w:rPr>
              <w:t>FY2024</w:t>
            </w:r>
          </w:p>
        </w:tc>
        <w:tc>
          <w:tcPr>
            <w:tcW w:type="dxa" w:w="2040"/>
          </w:tcPr>
          <w:p>
            <w:r/>
            <w:r>
              <w:rPr>
                <w:b/>
                <w:sz w:val="16"/>
              </w:rPr>
              <w:t>FY2025</w:t>
            </w:r>
          </w:p>
        </w:tc>
        <w:tc>
          <w:tcPr>
            <w:tcW w:type="dxa" w:w="2040"/>
          </w:tcPr>
          <w:p>
            <w:r/>
            <w:r>
              <w:rPr>
                <w:b/>
                <w:sz w:val="16"/>
              </w:rPr>
              <w:t>6M2026</w:t>
            </w:r>
          </w:p>
        </w:tc>
      </w:tr>
      <w:tr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Revenue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300.0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330.0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360.0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171.0</w:t>
            </w:r>
          </w:p>
        </w:tc>
      </w:tr>
      <w:tr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Net profit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9.8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9.9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9.2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3.6</w:t>
            </w:r>
          </w:p>
        </w:tc>
      </w:tr>
      <w:tr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EBITDA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33.0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36.0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38.0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18.2</w:t>
            </w:r>
          </w:p>
        </w:tc>
      </w:tr>
      <w:tr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Bank debt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120.0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132.0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150.0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154.0</w:t>
            </w:r>
          </w:p>
        </w:tc>
      </w:tr>
      <w:tr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Net worth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102.0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110.0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118.0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121.0</w:t>
            </w:r>
          </w:p>
        </w:tc>
      </w:tr>
      <w:tr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Current ratio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1.38x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1.39x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1.43x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6"/>
              </w:rPr>
              <w:t>1.42x</w:t>
            </w:r>
          </w:p>
        </w:tc>
      </w:tr>
    </w:tbl>
    <w:p/>
    <w:p>
      <w:r>
        <w:rPr>
          <w:b w:val="0"/>
        </w:rPr>
        <w:t>Audited by Harbour Gate Auditors (bank panel), clean opinion for FY2023–FY2025; 6M2026 management accounts as per business.</w:t>
      </w:r>
    </w:p>
    <w:p>
      <w:pPr>
        <w:pStyle w:val="Heading2"/>
      </w:pPr>
      <w:r>
        <w:rPr>
          <w:rFonts w:ascii="Arial" w:hAnsi="Arial"/>
          <w:sz w:val="21"/>
        </w:rPr>
        <w:t>15. Financial synopsis</w:t>
      </w:r>
    </w:p>
    <w:p>
      <w:r>
        <w:rPr>
          <w:b w:val="0"/>
        </w:rPr>
        <w:t>Revenue rose to SAR 360.0m in FY2025 (PY SAR 330.0m, +9.1%); net profit fell to SAR 9.2m (PY SAR 9.9m).</w:t>
      </w:r>
    </w:p>
    <w:p>
      <w:r>
        <w:rPr>
          <w:b w:val="0"/>
        </w:rPr>
        <w:t>Trade receivables of SAR 274.0m at 31 Dec 2025 (PY SAR 230.0m), 75.7% of current assets, reflecting the growth in certified works.</w:t>
      </w:r>
    </w:p>
    <w:p>
      <w:r>
        <w:rPr>
          <w:b w:val="0"/>
        </w:rPr>
        <w:t>Working capital of SAR 108.0m and a current ratio of 1.43x at 31 Dec 2025.</w:t>
      </w:r>
    </w:p>
    <w:p>
      <w:pPr>
        <w:pStyle w:val="Heading2"/>
      </w:pPr>
      <w:r>
        <w:rPr>
          <w:rFonts w:ascii="Arial" w:hAnsi="Arial"/>
          <w:sz w:val="21"/>
        </w:rPr>
        <w:t>16. Effects of the current geopolitical and market situation</w:t>
      </w:r>
    </w:p>
    <w:p>
      <w:r>
        <w:rPr>
          <w:b w:val="0"/>
        </w:rPr>
        <w:t>Business conveys steel prices rose 11% in 2026 and the contracts carry no escalation clause; with Brent high in Oct 2026 input and freight costs remain elevated.</w:t>
      </w:r>
    </w:p>
    <w:p>
      <w:pPr>
        <w:pStyle w:val="Heading2"/>
      </w:pPr>
      <w:r>
        <w:rPr>
          <w:rFonts w:ascii="Arial" w:hAnsi="Arial"/>
          <w:sz w:val="21"/>
        </w:rPr>
        <w:t>17. Exceptions and other observations</w:t>
      </w:r>
    </w:p>
    <w:p>
      <w:r>
        <w:rPr>
          <w:b w:val="0"/>
        </w:rPr>
        <w:t>No policy exceptions.</w:t>
      </w:r>
    </w:p>
    <w:p>
      <w:pPr>
        <w:pStyle w:val="Heading2"/>
      </w:pPr>
      <w:r>
        <w:rPr>
          <w:rFonts w:ascii="Arial" w:hAnsi="Arial"/>
          <w:sz w:val="21"/>
        </w:rPr>
        <w:t>18. Key strengths</w:t>
      </w:r>
    </w:p>
    <w:p>
      <w:r>
        <w:rPr>
          <w:b w:val="0"/>
        </w:rPr>
        <w:t>1. Relationship since 6 Mar 2011 with limits renewed in 2024 and 2025 (CC-2024-163, CC-2025-207).</w:t>
      </w:r>
    </w:p>
    <w:p>
      <w:r>
        <w:rPr>
          <w:b w:val="0"/>
        </w:rPr>
        <w:t>2. Revenue growth of 9.1% in FY2025 with a backlog of SAR 655.0m (1.8x FY2025 revenue).</w:t>
      </w:r>
    </w:p>
    <w:p>
      <w:r>
        <w:rPr>
          <w:b w:val="0"/>
        </w:rPr>
        <w:t>3. Personal guarantee of the UBO with a net worth of SAR 410.0m (31 Mar 2026).</w:t>
      </w:r>
    </w:p>
    <w:p>
      <w:pPr>
        <w:pStyle w:val="Heading2"/>
      </w:pPr>
      <w:r>
        <w:rPr>
          <w:rFonts w:ascii="Arial" w:hAnsi="Arial"/>
          <w:sz w:val="21"/>
        </w:rPr>
        <w:t>19. Recommendation</w:t>
      </w:r>
    </w:p>
    <w:p>
      <w:r>
        <w:rPr>
          <w:b w:val="0"/>
        </w:rPr>
        <w:t>Tariq Al-Mansouri recommends approval of total limits of SAR 190.0m and a group exposure cap of SAR 240.0m as set out in sections 2 to 5, as at 12 Oct 2026.</w:t>
      </w:r>
    </w:p>
    <w:p>
      <w:pPr>
        <w:pStyle w:val="Heading2"/>
      </w:pPr>
      <w:r>
        <w:rPr>
          <w:rFonts w:ascii="Arial" w:hAnsi="Arial"/>
          <w:sz w:val="21"/>
        </w:rPr>
        <w:t>20. Signatures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/>
            <w:r>
              <w:rPr>
                <w:b/>
                <w:sz w:val="16"/>
              </w:rPr>
              <w:t>Role</w:t>
            </w:r>
          </w:p>
        </w:tc>
        <w:tc>
          <w:tcPr>
            <w:tcW w:type="dxa" w:w="2550"/>
          </w:tcPr>
          <w:p>
            <w:r/>
            <w:r>
              <w:rPr>
                <w:b/>
                <w:sz w:val="16"/>
              </w:rPr>
              <w:t>Name</w:t>
            </w:r>
          </w:p>
        </w:tc>
        <w:tc>
          <w:tcPr>
            <w:tcW w:type="dxa" w:w="2550"/>
          </w:tcPr>
          <w:p>
            <w:r/>
            <w:r>
              <w:rPr>
                <w:b/>
                <w:sz w:val="16"/>
              </w:rPr>
              <w:t>Signature</w:t>
            </w:r>
          </w:p>
        </w:tc>
        <w:tc>
          <w:tcPr>
            <w:tcW w:type="dxa" w:w="2550"/>
          </w:tcPr>
          <w:p>
            <w:r/>
            <w:r>
              <w:rPr>
                <w:b/>
                <w:sz w:val="16"/>
              </w:rPr>
              <w:t>Date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Relationship manager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Tariq Al-Mansouri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12 Oct 2026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Head of corporate banking, Dammam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Credit analyst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Lina Haddad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4"/>
      </w:rPr>
      <w:t>CREDIT PROPOSAL · Ruwaq Gulf Contracting Company · CIF-0074412 · Corporate Banking — Dammam Corporate Centre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Tariq Al-Mansouri</dc:creator>
  <cp:keywords/>
  <dc:description>generated by python-docx</dc:description>
  <cp:lastModifiedBy/>
  <cp:revision>1</cp:revision>
  <dcterms:created xsi:type="dcterms:W3CDTF">2026-10-12T08:00:00Z</dcterms:created>
  <dcterms:modified xsi:type="dcterms:W3CDTF">2026-10-12T08:00:00Z</dcterms:modified>
  <cp:category/>
</cp:coreProperties>
</file>