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proposal: Qasr Lumen Contracting LLC (increase)</w:t>
      </w:r>
    </w:p>
    <w:p>
      <w:r>
        <w:t>Sandstone Harbour Bank PJSC (fictional). Decision: Approved with conditions by the Executive Credit Committee.</w:t>
      </w:r>
    </w:p>
    <w:p>
      <w:pPr>
        <w:pStyle w:val="Heading1"/>
      </w:pPr>
      <w:r>
        <w:t>Executive summary</w:t>
      </w:r>
    </w:p>
    <w:p>
      <w:r>
        <w:t>The business unit requests an increase of the guarantee lines from AED 140m to AED 185m to support two new hospital projects. The obligor is an existing client rated BB.</w:t>
      </w:r>
    </w:p>
    <w:p>
      <w:pPr>
        <w:pStyle w:val="Heading1"/>
      </w:pPr>
      <w:r>
        <w:t>Obligor and group</w:t>
      </w:r>
    </w:p>
    <w:p>
      <w:r>
        <w:t>Qasr Lumen Contracting LLC is a mid-sized building contractor owned by its founding family.</w:t>
      </w:r>
    </w:p>
    <w:p>
      <w:pPr>
        <w:pStyle w:val="Heading1"/>
      </w:pPr>
      <w:r>
        <w:t>Facilities and request</w:t>
      </w:r>
    </w:p>
    <w:p>
      <w:r>
        <w:t>Performance guarantees AED 120m, advance payment guarantees AED 45m, overdraft AED 20m.</w:t>
      </w:r>
    </w:p>
    <w:p>
      <w:pPr>
        <w:pStyle w:val="Heading1"/>
      </w:pPr>
      <w:r>
        <w:t>Financial analysis</w:t>
      </w:r>
    </w:p>
    <w:p>
      <w:r>
        <w:t>Revenue AED 610m in FY2025, EBITDA AED 48m; net debt to EBITDA 2.1x.</w:t>
      </w:r>
    </w:p>
    <w:p>
      <w:pPr>
        <w:pStyle w:val="Heading1"/>
      </w:pPr>
      <w:r>
        <w:t>Risks and mitigants</w:t>
      </w:r>
    </w:p>
    <w:p>
      <w:r>
        <w:t>Project execution risk on two hospital projects, mitigated by the contractor's track record.</w:t>
      </w:r>
    </w:p>
    <w:p>
      <w:pPr>
        <w:pStyle w:val="Heading1"/>
      </w:pPr>
      <w:r>
        <w:t>Recommendation</w:t>
      </w:r>
    </w:p>
    <w:p>
      <w:r>
        <w:t>The business unit recommends approval of the increase as requested.</w:t>
      </w:r>
    </w:p>
    <w:p>
      <w:pPr>
        <w:pStyle w:val="Heading1"/>
      </w:pPr>
      <w:r>
        <w:t>Committee decision and conditions</w:t>
      </w:r>
    </w:p>
    <w:p>
      <w:pPr>
        <w:pStyle w:val="ListBullet"/>
      </w:pPr>
      <w:r>
        <w:t>Facility letters for the new facilities at other banks to be obtained and reconciled with the AECB report before drawdown.</w:t>
      </w:r>
    </w:p>
    <w:p>
      <w:pPr>
        <w:pStyle w:val="ListBullet"/>
      </w:pPr>
      <w:r>
        <w:t>Cash margin of 10% on all new performance guarantees.</w:t>
      </w:r>
    </w:p>
    <w:p>
      <w:pPr>
        <w:pStyle w:val="ListBullet"/>
      </w:pPr>
      <w:r>
        <w:t>Amounts due from related parties to be subordinated to the Bank's facilities.</w:t>
      </w:r>
    </w:p>
    <w:p>
      <w:pPr>
        <w:pStyle w:val="Heading1"/>
      </w:pPr>
      <w:r>
        <w:t>Committee comments</w:t>
      </w:r>
    </w:p>
    <w:p>
      <w:r>
        <w:t>The committee asked how much of the backlog is with a single employer and whether it is verified by the quantity surveyor.</w:t>
      </w:r>
    </w:p>
    <w:p>
      <w:r>
        <w:t>The committee questioned whether repayment survives the stress case with a six-month delay on the larger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Banking (fictional)</dc:creator>
  <cp:keywords/>
  <dc:description>generated by python-docx</dc:description>
  <cp:lastModifiedBy>Corporate Banking (fictional)</cp:lastModifiedBy>
  <cp:revision>1</cp:revision>
  <dcterms:created xsi:type="dcterms:W3CDTF">2026-06-01T00:00:00Z</dcterms:created>
  <dcterms:modified xsi:type="dcterms:W3CDTF">2026-06-01T00:00:00Z</dcterms:modified>
  <cp:category/>
</cp:coreProperties>
</file>