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proposal: Marjan Vale Trading LLC (renewal)</w:t>
      </w:r>
    </w:p>
    <w:p>
      <w:r>
        <w:t>Sandstone Harbour Bank PJSC (fictional). Decision: Approved with conditions by the Chief Risk Officer.</w:t>
      </w:r>
    </w:p>
    <w:p>
      <w:pPr>
        <w:pStyle w:val="Heading1"/>
      </w:pPr>
      <w:r>
        <w:t>Executive summary</w:t>
      </w:r>
    </w:p>
    <w:p>
      <w:r>
        <w:t>Renewal of trade lines of AED 75m for a building materials trader rated BB-.</w:t>
      </w:r>
    </w:p>
    <w:p>
      <w:pPr>
        <w:pStyle w:val="Heading1"/>
      </w:pPr>
      <w:r>
        <w:t>Obligor and group</w:t>
      </w:r>
    </w:p>
    <w:p>
      <w:r>
        <w:t>A trading company with two sister companies under common ownership.</w:t>
      </w:r>
    </w:p>
    <w:p>
      <w:pPr>
        <w:pStyle w:val="Heading1"/>
      </w:pPr>
      <w:r>
        <w:t>Facilities and request</w:t>
      </w:r>
    </w:p>
    <w:p>
      <w:r>
        <w:t>Letters of credit AED 50m, trust receipts AED 25m.</w:t>
      </w:r>
    </w:p>
    <w:p>
      <w:pPr>
        <w:pStyle w:val="Heading1"/>
      </w:pPr>
      <w:r>
        <w:t>Financial analysis</w:t>
      </w:r>
    </w:p>
    <w:p>
      <w:r>
        <w:t>Revenue AED 420m; current ratio 1.15x; leverage 3.2x.</w:t>
      </w:r>
    </w:p>
    <w:p>
      <w:pPr>
        <w:pStyle w:val="Heading1"/>
      </w:pPr>
      <w:r>
        <w:t>Account conduct and bureau report</w:t>
      </w:r>
    </w:p>
    <w:p>
      <w:r>
        <w:t>Turnover routed through the Bank is 55% of revenue against a 70% undertaking.</w:t>
      </w:r>
    </w:p>
    <w:p>
      <w:pPr>
        <w:pStyle w:val="Heading1"/>
      </w:pPr>
      <w:r>
        <w:t>Recommendation</w:t>
      </w:r>
    </w:p>
    <w:p>
      <w:r>
        <w:t>Renew for twelve months.</w:t>
      </w:r>
    </w:p>
    <w:p>
      <w:pPr>
        <w:pStyle w:val="Heading1"/>
      </w:pPr>
      <w:r>
        <w:t>Committee decision and conditions</w:t>
      </w:r>
    </w:p>
    <w:p>
      <w:pPr>
        <w:pStyle w:val="ListBullet"/>
      </w:pPr>
      <w:r>
        <w:t>Turnover routing undertaking of 70% to be met within six months, monitored quarterly.</w:t>
      </w:r>
    </w:p>
    <w:p>
      <w:pPr>
        <w:pStyle w:val="ListBullet"/>
      </w:pPr>
      <w:r>
        <w:t>Audited standalone financial statements of the borrower to be submitted, the auditor to be on the approved list.</w:t>
      </w:r>
    </w:p>
    <w:p>
      <w:pPr>
        <w:pStyle w:val="ListBullet"/>
      </w:pPr>
      <w:r>
        <w:t>Due from related parties to be reduced below AED 10m by the next review.</w:t>
      </w:r>
    </w:p>
    <w:p>
      <w:pPr>
        <w:pStyle w:val="Heading1"/>
      </w:pPr>
      <w:r>
        <w:t>Committee comments</w:t>
      </w:r>
    </w:p>
    <w:p>
      <w:r>
        <w:t>The committee asked whether the facilities at other banks match the bureau report.</w:t>
      </w:r>
    </w:p>
    <w:p>
      <w:r>
        <w:t>Pricing does not clear the hurdle; the committee asked for a pricing review at renewal.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 Banking (fictional)</dc:creator>
  <cp:keywords/>
  <dc:description>generated by python-docx</dc:description>
  <cp:lastModifiedBy>Corporate Banking (fictional)</cp:lastModifiedBy>
  <cp:revision>1</cp:revision>
  <dcterms:created xsi:type="dcterms:W3CDTF">2026-06-01T00:00:00Z</dcterms:created>
  <dcterms:modified xsi:type="dcterms:W3CDTF">2026-06-01T00:00:00Z</dcterms:modified>
  <cp:category/>
</cp:coreProperties>
</file>