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Sadaf Prism Foods LLC (increase)</w:t>
      </w:r>
    </w:p>
    <w:p>
      <w:r>
        <w:t>Sandstone Harbour Bank PJSC (fictional). Decision: Declined by the Chief Risk Officer.</w:t>
      </w:r>
    </w:p>
    <w:p>
      <w:pPr>
        <w:pStyle w:val="Heading1"/>
      </w:pPr>
      <w:r>
        <w:t>Executive summary</w:t>
      </w:r>
    </w:p>
    <w:p>
      <w:r>
        <w:t>Increase of working capital lines from AED 40m to AED 70m for a food processor rated B+.</w:t>
      </w:r>
    </w:p>
    <w:p>
      <w:pPr>
        <w:pStyle w:val="Heading1"/>
      </w:pPr>
      <w:r>
        <w:t>Obligor and group</w:t>
      </w:r>
    </w:p>
    <w:p>
      <w:r>
        <w:t>Owned by a holding company that changed ownership in 2026.</w:t>
      </w:r>
    </w:p>
    <w:p>
      <w:pPr>
        <w:pStyle w:val="Heading1"/>
      </w:pPr>
      <w:r>
        <w:t>Facilities and request</w:t>
      </w:r>
    </w:p>
    <w:p>
      <w:r>
        <w:t>Revolving working capital AED 70m.</w:t>
      </w:r>
    </w:p>
    <w:p>
      <w:pPr>
        <w:pStyle w:val="Heading1"/>
      </w:pPr>
      <w:r>
        <w:t>Financial analysis</w:t>
      </w:r>
    </w:p>
    <w:p>
      <w:r>
        <w:t>Revenue AED 300m; EBITDA margin 6%; the FY2025 audit opinion is qualified.</w:t>
      </w:r>
    </w:p>
    <w:p>
      <w:pPr>
        <w:pStyle w:val="Heading1"/>
      </w:pPr>
      <w:r>
        <w:t>Recommendation</w:t>
      </w:r>
    </w:p>
    <w:p>
      <w:r>
        <w:t>The business unit recommends approval of the increase.</w:t>
      </w:r>
    </w:p>
    <w:p>
      <w:pPr>
        <w:pStyle w:val="Heading1"/>
      </w:pPr>
      <w:r>
        <w:t>Committee decision and conditions</w:t>
      </w:r>
    </w:p>
    <w:p>
      <w:pPr>
        <w:pStyle w:val="ListBullet"/>
      </w:pPr>
      <w:r>
        <w:t>Declined pending a re-assessment of the change of ownership (KYC) and an unqualified audit opinion.</w:t>
      </w:r>
    </w:p>
    <w:p>
      <w:pPr>
        <w:pStyle w:val="Heading1"/>
      </w:pPr>
      <w:r>
        <w:t>Committee comments</w:t>
      </w:r>
    </w:p>
    <w:p>
      <w:r>
        <w:t>The committee asked how much is due from related parties after the change of ownership.</w:t>
      </w:r>
    </w:p>
    <w:p>
      <w:r>
        <w:t>The committee asked whether the security is perfected and the legal opinion current.</w:t>
      </w:r>
    </w:p>
    <w:p>
      <w:r>
        <w:t>Pricing at 275 bps is below the hurdle for a B+ obligor.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Banking (fictional)</dc:creator>
  <cp:keywords/>
  <dc:description>generated by python-docx</dc:description>
  <cp:lastModifiedBy>Corporate Banking (fictional)</cp:lastModifiedBy>
  <cp:revision>1</cp:revision>
  <dcterms:created xsi:type="dcterms:W3CDTF">2026-06-01T00:00:00Z</dcterms:created>
  <dcterms:modified xsi:type="dcterms:W3CDTF">2026-06-01T00:00:00Z</dcterms:modified>
  <cp:category/>
</cp:coreProperties>
</file>