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DD-07: Unayzah Trading</w:t>
      </w:r>
    </w:p>
    <w:p>
      <w:r>
        <w:rPr>
          <w:color w:val="5B6673"/>
          <w:sz w:val="28"/>
        </w:rPr>
        <w:t>Import letters of credit for building supplies from China and Turkey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Wholesale Trade · BBB-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DD-07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Unayzah Trading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Unayzah Trading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1062431511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CB05080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Unayzah Trading Holding (CG6234)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Wholesale Trade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General Trading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G46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Riyadh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BBB-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43.85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77.68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79.83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85.33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88.74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92.29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21.84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22.35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22.90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23.82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24.77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25.76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45.58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45.69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45.77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43.94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42.11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40.27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9.54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9.85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10.16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9.86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9.55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9.25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22.79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22.84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22.88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24.03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25.17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26.32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1.64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Import LC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Murabaha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USD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(USD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8.00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bullet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SOFR + 0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25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80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75%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p>
      <w:r>
        <w:rPr>
          <w:b w:val="0"/>
          <w:i w:val="0"/>
        </w:rPr>
        <w:t>Collateral: none offered.</w:t>
      </w:r>
    </w:p>
    <w:p>
      <w:r>
        <w:rPr>
          <w:b w:val="0"/>
          <w:i w:val="0"/>
        </w:rPr>
        <w:t>Covenant package: none.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0.04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0.08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Sara Al-Dosari recommends the facility as requested: import letters of credit for building supplies from china and turkey.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Sara Al-Dosari on 11 Oct 2026 14:00 UTC · Ref. DD-07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DD-07: Unayzah Trading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DD-07: Unayzah Trading</dc:title>
  <dc:subject>Corporate book · Period 2026Q2 · Wholesale Trade · BBB-</dc:subject>
  <dc:creator>Sara Al-Dosari</dc:creator>
  <cp:keywords>creditprobe-house-style-1</cp:keywords>
  <dc:description>Generated by Sara Al-Dosari on 11 Oct 2026 14:00 UTC · Ref. DD-07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