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DD-11: Al Kharj United Contracting</w:t>
      </w:r>
    </w:p>
    <w:p>
      <w:r>
        <w:rPr>
          <w:color w:val="5B6673"/>
          <w:sz w:val="28"/>
        </w:rPr>
        <w:t>Working capital line with a performance-guarantee sub-limit for marine works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Construction · 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DD-11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2026-10-01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Kharj United Contracting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Kharj United Contracting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1013611231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CB00808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Arar Eastern Contracting Group (CG6292-083)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Construction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Marine Works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F42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Adverse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44.12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79.51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80.89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82.18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85.47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88.89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92.44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21.59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21.56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21.48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22.33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23.23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24.16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39.88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40.27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40.69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39.06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37.44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35.81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9.77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10.21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10.68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10.36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10.04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9.72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19.94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20.14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20.35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21.36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23.40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1.51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Revolving working capital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Tawarruq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24.00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bullet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+ 380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80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30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120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50%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real estate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14.00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2026-04-30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0.04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0.03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Abdullah Al-Zahrani recommends the facility as requested: working capital line with a performance-guarantee sub-limit for marine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Abdullah Al-Zahrani on 11 Oct 2026 14:00 UTC · Ref. DD-11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DD-11: Al Kharj United Contracting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DD-11: Al Kharj United Contracting</dc:title>
  <dc:subject>Corporate book · Period 2026Q2 · Construction · B</dc:subject>
  <dc:creator>Abdullah Al-Zahrani</dc:creator>
  <cp:keywords>creditprobe-house-style-1</cp:keywords>
  <dc:description>Generated by Abdullah Al-Zahrani on 11 Oct 2026 14:00 UTC · Ref. DD-11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