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Al Khobar Modern Logistics Company</w:t>
      </w:r>
    </w:p>
    <w:p>
      <w:r>
        <w:t>Reference DD-201 · Corporate Banking · prepared by Khalid Al-Otaibi · October 2026</w:t>
      </w:r>
    </w:p>
    <w:p>
      <w:r>
        <w:t>Synthetic demo data for CreditProbe. Not client data. Amounts in SAR million unless stated.</w:t>
      </w:r>
    </w:p>
    <w:p>
      <w:pPr>
        <w:pStyle w:val="Heading1"/>
      </w:pPr>
      <w:r>
        <w:t>1. Executive summary</w:t>
      </w:r>
    </w:p>
    <w:p>
      <w:r>
        <w:t>The relationship team requests a term finance of SAR 60 million over 5 years for Al Khobar Modern Logistics Company, priced at SAIBOR + 260 bps with a 75 bps upfront fee, secured by real estate valued at SAR 55 million, with a corporate guarantee from Al Khobar Modern Logistics Group holding company covering 100%. The purpose is fleet expansion: 120 refrigerated trucks for the dammam-riyadh corridor.</w:t>
      </w:r>
    </w:p>
    <w:p>
      <w:r>
        <w:t>The obligor is rated A- on the internal scale. Revenue grew from SAR 410 million in 2023 to SAR 502 million in 2025, and EBITDA from SAR 82 million to SAR 104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Al Khobar Modern Logistics Company</w:t>
            </w:r>
          </w:p>
        </w:tc>
      </w:tr>
      <w:tr>
        <w:tc>
          <w:tcPr>
            <w:tcW w:type="dxa" w:w="4320"/>
          </w:tcPr>
          <w:p>
            <w:r>
              <w:t>CR number</w:t>
            </w:r>
          </w:p>
        </w:tc>
        <w:tc>
          <w:tcPr>
            <w:tcW w:type="dxa" w:w="4320"/>
          </w:tcPr>
          <w:p>
            <w:r>
              <w:t>2051048817</w:t>
            </w:r>
          </w:p>
        </w:tc>
      </w:tr>
      <w:tr>
        <w:tc>
          <w:tcPr>
            <w:tcW w:type="dxa" w:w="4320"/>
          </w:tcPr>
          <w:p>
            <w:r>
              <w:t>Group</w:t>
            </w:r>
          </w:p>
        </w:tc>
        <w:tc>
          <w:tcPr>
            <w:tcW w:type="dxa" w:w="4320"/>
          </w:tcPr>
          <w:p>
            <w:r>
              <w:t>Al Khobar Modern Logistics Group (CG9317-006)</w:t>
            </w:r>
          </w:p>
        </w:tc>
      </w:tr>
      <w:tr>
        <w:tc>
          <w:tcPr>
            <w:tcW w:type="dxa" w:w="4320"/>
          </w:tcPr>
          <w:p>
            <w:r>
              <w:t>Sector</w:t>
            </w:r>
          </w:p>
        </w:tc>
        <w:tc>
          <w:tcPr>
            <w:tcW w:type="dxa" w:w="4320"/>
          </w:tcPr>
          <w:p>
            <w:r>
              <w:t>Transport and Logistics</w:t>
            </w:r>
          </w:p>
        </w:tc>
      </w:tr>
      <w:tr>
        <w:tc>
          <w:tcPr>
            <w:tcW w:type="dxa" w:w="4320"/>
          </w:tcPr>
          <w:p>
            <w:r>
              <w:t>Region</w:t>
            </w:r>
          </w:p>
        </w:tc>
        <w:tc>
          <w:tcPr>
            <w:tcW w:type="dxa" w:w="4320"/>
          </w:tcPr>
          <w:p>
            <w:r>
              <w:t>Eastern Province</w:t>
            </w:r>
          </w:p>
        </w:tc>
      </w:tr>
      <w:tr>
        <w:tc>
          <w:tcPr>
            <w:tcW w:type="dxa" w:w="4320"/>
          </w:tcPr>
          <w:p>
            <w:r>
              <w:t>Internal rating</w:t>
            </w:r>
          </w:p>
        </w:tc>
        <w:tc>
          <w:tcPr>
            <w:tcW w:type="dxa" w:w="4320"/>
          </w:tcPr>
          <w:p>
            <w:r>
              <w:t>A-</w:t>
            </w:r>
          </w:p>
        </w:tc>
      </w:tr>
      <w:tr>
        <w:tc>
          <w:tcPr>
            <w:tcW w:type="dxa" w:w="4320"/>
          </w:tcPr>
          <w:p>
            <w:r>
              <w:t>External rating</w:t>
            </w:r>
          </w:p>
        </w:tc>
        <w:tc>
          <w:tcPr>
            <w:tcW w:type="dxa" w:w="4320"/>
          </w:tcPr>
          <w:p>
            <w:r>
              <w:t>A- (Fitch)</w:t>
            </w:r>
          </w:p>
        </w:tc>
      </w:tr>
      <w:tr>
        <w:tc>
          <w:tcPr>
            <w:tcW w:type="dxa" w:w="4320"/>
          </w:tcPr>
          <w:p>
            <w:r>
              <w:t>SIMAH</w:t>
            </w:r>
          </w:p>
        </w:tc>
        <w:tc>
          <w:tcPr>
            <w:tcW w:type="dxa" w:w="4320"/>
          </w:tcPr>
          <w:p>
            <w:r>
              <w:t>clear</w:t>
            </w:r>
          </w:p>
        </w:tc>
      </w:tr>
      <w:tr>
        <w:tc>
          <w:tcPr>
            <w:tcW w:type="dxa" w:w="4320"/>
          </w:tcPr>
          <w:p>
            <w:r>
              <w:t>Relationship manager</w:t>
            </w:r>
          </w:p>
        </w:tc>
        <w:tc>
          <w:tcPr>
            <w:tcW w:type="dxa" w:w="4320"/>
          </w:tcPr>
          <w:p>
            <w:r>
              <w:t>Khalid Al-Otaibi</w:t>
            </w:r>
          </w:p>
        </w:tc>
      </w:tr>
    </w:tbl>
    <w:p/>
    <w:p>
      <w:pPr>
        <w:pStyle w:val="Heading1"/>
      </w:pPr>
      <w:r>
        <w:t>2. Background</w:t>
      </w:r>
    </w:p>
    <w:p>
      <w:r>
        <w:t>Al Khobar Modern Logistics Company was incorporated under commercial registration 2051048817 and operates from Eastern Province. It is active in transport and logistics,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Al Khobar Modern Logistics Group (CG9317-006),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transport and logistics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410.0</w:t>
            </w:r>
          </w:p>
        </w:tc>
        <w:tc>
          <w:tcPr>
            <w:tcW w:type="dxa" w:w="2160"/>
          </w:tcPr>
          <w:p>
            <w:r>
              <w:t>455.0</w:t>
            </w:r>
          </w:p>
        </w:tc>
        <w:tc>
          <w:tcPr>
            <w:tcW w:type="dxa" w:w="2160"/>
          </w:tcPr>
          <w:p>
            <w:r>
              <w:t>502.0</w:t>
            </w:r>
          </w:p>
        </w:tc>
      </w:tr>
      <w:tr>
        <w:tc>
          <w:tcPr>
            <w:tcW w:type="dxa" w:w="2160"/>
          </w:tcPr>
          <w:p>
            <w:r>
              <w:t>EBITDA</w:t>
            </w:r>
          </w:p>
        </w:tc>
        <w:tc>
          <w:tcPr>
            <w:tcW w:type="dxa" w:w="2160"/>
          </w:tcPr>
          <w:p>
            <w:r>
              <w:t>82.0</w:t>
            </w:r>
          </w:p>
        </w:tc>
        <w:tc>
          <w:tcPr>
            <w:tcW w:type="dxa" w:w="2160"/>
          </w:tcPr>
          <w:p>
            <w:r>
              <w:t>93.0</w:t>
            </w:r>
          </w:p>
        </w:tc>
        <w:tc>
          <w:tcPr>
            <w:tcW w:type="dxa" w:w="2160"/>
          </w:tcPr>
          <w:p>
            <w:r>
              <w:t>104.0</w:t>
            </w:r>
          </w:p>
        </w:tc>
      </w:tr>
      <w:tr>
        <w:tc>
          <w:tcPr>
            <w:tcW w:type="dxa" w:w="2160"/>
          </w:tcPr>
          <w:p>
            <w:r>
              <w:t>Net income</w:t>
            </w:r>
          </w:p>
        </w:tc>
        <w:tc>
          <w:tcPr>
            <w:tcW w:type="dxa" w:w="2160"/>
          </w:tcPr>
          <w:p>
            <w:r>
              <w:t>31.0</w:t>
            </w:r>
          </w:p>
        </w:tc>
        <w:tc>
          <w:tcPr>
            <w:tcW w:type="dxa" w:w="2160"/>
          </w:tcPr>
          <w:p>
            <w:r>
              <w:t>36.0</w:t>
            </w:r>
          </w:p>
        </w:tc>
        <w:tc>
          <w:tcPr>
            <w:tcW w:type="dxa" w:w="2160"/>
          </w:tcPr>
          <w:p>
            <w:r>
              <w:t>41.0</w:t>
            </w:r>
          </w:p>
        </w:tc>
      </w:tr>
      <w:tr>
        <w:tc>
          <w:tcPr>
            <w:tcW w:type="dxa" w:w="2160"/>
          </w:tcPr>
          <w:p>
            <w:r>
              <w:t>Total debt</w:t>
            </w:r>
          </w:p>
        </w:tc>
        <w:tc>
          <w:tcPr>
            <w:tcW w:type="dxa" w:w="2160"/>
          </w:tcPr>
          <w:p>
            <w:r>
              <w:t>150.0</w:t>
            </w:r>
          </w:p>
        </w:tc>
        <w:tc>
          <w:tcPr>
            <w:tcW w:type="dxa" w:w="2160"/>
          </w:tcPr>
          <w:p>
            <w:r>
              <w:t>140.0</w:t>
            </w:r>
          </w:p>
        </w:tc>
        <w:tc>
          <w:tcPr>
            <w:tcW w:type="dxa" w:w="2160"/>
          </w:tcPr>
          <w:p>
            <w:r>
              <w:t>135.0</w:t>
            </w:r>
          </w:p>
        </w:tc>
      </w:tr>
      <w:tr>
        <w:tc>
          <w:tcPr>
            <w:tcW w:type="dxa" w:w="2160"/>
          </w:tcPr>
          <w:p>
            <w:r>
              <w:t>Cash and equivalents</w:t>
            </w:r>
          </w:p>
        </w:tc>
        <w:tc>
          <w:tcPr>
            <w:tcW w:type="dxa" w:w="2160"/>
          </w:tcPr>
          <w:p>
            <w:r>
              <w:t>38.0</w:t>
            </w:r>
          </w:p>
        </w:tc>
        <w:tc>
          <w:tcPr>
            <w:tcW w:type="dxa" w:w="2160"/>
          </w:tcPr>
          <w:p>
            <w:r>
              <w:t>44.0</w:t>
            </w:r>
          </w:p>
        </w:tc>
        <w:tc>
          <w:tcPr>
            <w:tcW w:type="dxa" w:w="2160"/>
          </w:tcPr>
          <w:p>
            <w:r>
              <w:t>52.0</w:t>
            </w:r>
          </w:p>
        </w:tc>
      </w:tr>
      <w:tr>
        <w:tc>
          <w:tcPr>
            <w:tcW w:type="dxa" w:w="2160"/>
          </w:tcPr>
          <w:p>
            <w:r>
              <w:t>Net worth (equity)</w:t>
            </w:r>
          </w:p>
        </w:tc>
        <w:tc>
          <w:tcPr>
            <w:tcW w:type="dxa" w:w="2160"/>
          </w:tcPr>
          <w:p>
            <w:r>
              <w:t>260.0</w:t>
            </w:r>
          </w:p>
        </w:tc>
        <w:tc>
          <w:tcPr>
            <w:tcW w:type="dxa" w:w="2160"/>
          </w:tcPr>
          <w:p>
            <w:r>
              <w:t>290.0</w:t>
            </w:r>
          </w:p>
        </w:tc>
        <w:tc>
          <w:tcPr>
            <w:tcW w:type="dxa" w:w="2160"/>
          </w:tcPr>
          <w:p>
            <w:r>
              <w:t>325.0</w:t>
            </w:r>
          </w:p>
        </w:tc>
      </w:tr>
      <w:tr>
        <w:tc>
          <w:tcPr>
            <w:tcW w:type="dxa" w:w="2160"/>
          </w:tcPr>
          <w:p>
            <w:r>
              <w:t>Operating cash flow</w:t>
            </w:r>
          </w:p>
        </w:tc>
        <w:tc>
          <w:tcPr>
            <w:tcW w:type="dxa" w:w="2160"/>
          </w:tcPr>
          <w:p>
            <w:r>
              <w:t>70.0</w:t>
            </w:r>
          </w:p>
        </w:tc>
        <w:tc>
          <w:tcPr>
            <w:tcW w:type="dxa" w:w="2160"/>
          </w:tcPr>
          <w:p>
            <w:r>
              <w:t>78.0</w:t>
            </w:r>
          </w:p>
        </w:tc>
        <w:tc>
          <w:tcPr>
            <w:tcW w:type="dxa" w:w="2160"/>
          </w:tcPr>
          <w:p>
            <w:r>
              <w:t>88.0</w:t>
            </w:r>
          </w:p>
        </w:tc>
      </w:tr>
      <w:tr>
        <w:tc>
          <w:tcPr>
            <w:tcW w:type="dxa" w:w="2160"/>
          </w:tcPr>
          <w:p>
            <w:r>
              <w:t>Capital expenditure</w:t>
            </w:r>
          </w:p>
        </w:tc>
        <w:tc>
          <w:tcPr>
            <w:tcW w:type="dxa" w:w="2160"/>
          </w:tcPr>
          <w:p>
            <w:r>
              <w:t>25.0</w:t>
            </w:r>
          </w:p>
        </w:tc>
        <w:tc>
          <w:tcPr>
            <w:tcW w:type="dxa" w:w="2160"/>
          </w:tcPr>
          <w:p>
            <w:r>
              <w:t>30.0</w:t>
            </w:r>
          </w:p>
        </w:tc>
        <w:tc>
          <w:tcPr>
            <w:tcW w:type="dxa" w:w="2160"/>
          </w:tcPr>
          <w:p>
            <w:r>
              <w:t>32.0</w:t>
            </w:r>
          </w:p>
        </w:tc>
      </w:tr>
      <w:tr>
        <w:tc>
          <w:tcPr>
            <w:tcW w:type="dxa" w:w="2160"/>
          </w:tcPr>
          <w:p>
            <w:r>
              <w:t>Interest expense</w:t>
            </w:r>
          </w:p>
        </w:tc>
        <w:tc>
          <w:tcPr>
            <w:tcW w:type="dxa" w:w="2160"/>
          </w:tcPr>
          <w:p>
            <w:r>
              <w:t>9.0</w:t>
            </w:r>
          </w:p>
        </w:tc>
        <w:tc>
          <w:tcPr>
            <w:tcW w:type="dxa" w:w="2160"/>
          </w:tcPr>
          <w:p>
            <w:r>
              <w:t>8.5</w:t>
            </w:r>
          </w:p>
        </w:tc>
        <w:tc>
          <w:tcPr>
            <w:tcW w:type="dxa" w:w="2160"/>
          </w:tcPr>
          <w:p>
            <w:r>
              <w:t>8.0</w:t>
            </w:r>
          </w:p>
        </w:tc>
      </w:tr>
      <w:tr>
        <w:tc>
          <w:tcPr>
            <w:tcW w:type="dxa" w:w="2160"/>
          </w:tcPr>
          <w:p>
            <w:r>
              <w:t>Debt service</w:t>
            </w:r>
          </w:p>
        </w:tc>
        <w:tc>
          <w:tcPr>
            <w:tcW w:type="dxa" w:w="2160"/>
          </w:tcPr>
          <w:p>
            <w:r>
              <w:t>34.0</w:t>
            </w:r>
          </w:p>
        </w:tc>
        <w:tc>
          <w:tcPr>
            <w:tcW w:type="dxa" w:w="2160"/>
          </w:tcPr>
          <w:p>
            <w:r>
              <w:t>31.8</w:t>
            </w:r>
          </w:p>
        </w:tc>
        <w:tc>
          <w:tcPr>
            <w:tcW w:type="dxa" w:w="2160"/>
          </w:tcPr>
          <w:p>
            <w:r>
              <w:t>30.5</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1.30x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Murabaha</w:t>
            </w:r>
          </w:p>
        </w:tc>
      </w:tr>
      <w:tr>
        <w:tc>
          <w:tcPr>
            <w:tcW w:type="dxa" w:w="4320"/>
          </w:tcPr>
          <w:p>
            <w:r>
              <w:t>Currency</w:t>
            </w:r>
          </w:p>
        </w:tc>
        <w:tc>
          <w:tcPr>
            <w:tcW w:type="dxa" w:w="4320"/>
          </w:tcPr>
          <w:p>
            <w:r>
              <w:t>SAR</w:t>
            </w:r>
          </w:p>
        </w:tc>
      </w:tr>
      <w:tr>
        <w:tc>
          <w:tcPr>
            <w:tcW w:type="dxa" w:w="4320"/>
          </w:tcPr>
          <w:p>
            <w:r>
              <w:t>Amount</w:t>
            </w:r>
          </w:p>
        </w:tc>
        <w:tc>
          <w:tcPr>
            <w:tcW w:type="dxa" w:w="4320"/>
          </w:tcPr>
          <w:p>
            <w:r>
              <w:t>SAR 60 million</w:t>
            </w:r>
          </w:p>
        </w:tc>
      </w:tr>
      <w:tr>
        <w:tc>
          <w:tcPr>
            <w:tcW w:type="dxa" w:w="4320"/>
          </w:tcPr>
          <w:p>
            <w:r>
              <w:t>Tenor</w:t>
            </w:r>
          </w:p>
        </w:tc>
        <w:tc>
          <w:tcPr>
            <w:tcW w:type="dxa" w:w="4320"/>
          </w:tcPr>
          <w:p>
            <w:r>
              <w:t>5 years</w:t>
            </w:r>
          </w:p>
        </w:tc>
      </w:tr>
      <w:tr>
        <w:tc>
          <w:tcPr>
            <w:tcW w:type="dxa" w:w="4320"/>
          </w:tcPr>
          <w:p>
            <w:r>
              <w:t>Grace</w:t>
            </w:r>
          </w:p>
        </w:tc>
        <w:tc>
          <w:tcPr>
            <w:tcW w:type="dxa" w:w="4320"/>
          </w:tcPr>
          <w:p>
            <w:r>
              <w:t>1 years</w:t>
            </w:r>
          </w:p>
        </w:tc>
      </w:tr>
      <w:tr>
        <w:tc>
          <w:tcPr>
            <w:tcW w:type="dxa" w:w="4320"/>
          </w:tcPr>
          <w:p>
            <w:r>
              <w:t>Repayment</w:t>
            </w:r>
          </w:p>
        </w:tc>
        <w:tc>
          <w:tcPr>
            <w:tcW w:type="dxa" w:w="4320"/>
          </w:tcPr>
          <w:p>
            <w:r>
              <w:t>equal</w:t>
            </w:r>
          </w:p>
        </w:tc>
      </w:tr>
      <w:tr>
        <w:tc>
          <w:tcPr>
            <w:tcW w:type="dxa" w:w="4320"/>
          </w:tcPr>
          <w:p>
            <w:r>
              <w:t>Margin</w:t>
            </w:r>
          </w:p>
        </w:tc>
        <w:tc>
          <w:tcPr>
            <w:tcW w:type="dxa" w:w="4320"/>
          </w:tcPr>
          <w:p>
            <w:r>
              <w:t>SAIBOR + 260 bps</w:t>
            </w:r>
          </w:p>
        </w:tc>
      </w:tr>
      <w:tr>
        <w:tc>
          <w:tcPr>
            <w:tcW w:type="dxa" w:w="4320"/>
          </w:tcPr>
          <w:p>
            <w:r>
              <w:t>Upfront fee</w:t>
            </w:r>
          </w:p>
        </w:tc>
        <w:tc>
          <w:tcPr>
            <w:tcW w:type="dxa" w:w="4320"/>
          </w:tcPr>
          <w:p>
            <w:r>
              <w:t>75 bps</w:t>
            </w:r>
          </w:p>
        </w:tc>
      </w:tr>
      <w:tr>
        <w:tc>
          <w:tcPr>
            <w:tcW w:type="dxa" w:w="4320"/>
          </w:tcPr>
          <w:p>
            <w:r>
              <w:t>Commitment fee</w:t>
            </w:r>
          </w:p>
        </w:tc>
        <w:tc>
          <w:tcPr>
            <w:tcW w:type="dxa" w:w="4320"/>
          </w:tcPr>
          <w:p>
            <w:r>
              <w:t>25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Fleet expansion: 120 refrigerated trucks for the Dammam-Riyadh corridor.</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real estate</w:t>
            </w:r>
          </w:p>
        </w:tc>
      </w:tr>
      <w:tr>
        <w:tc>
          <w:tcPr>
            <w:tcW w:type="dxa" w:w="4320"/>
          </w:tcPr>
          <w:p>
            <w:r>
              <w:t>Collateral value</w:t>
            </w:r>
          </w:p>
        </w:tc>
        <w:tc>
          <w:tcPr>
            <w:tcW w:type="dxa" w:w="4320"/>
          </w:tcPr>
          <w:p>
            <w:r>
              <w:t>SAR 55 million</w:t>
            </w:r>
          </w:p>
        </w:tc>
      </w:tr>
      <w:tr>
        <w:tc>
          <w:tcPr>
            <w:tcW w:type="dxa" w:w="4320"/>
          </w:tcPr>
          <w:p>
            <w:r>
              <w:t>Valuation date</w:t>
            </w:r>
          </w:p>
        </w:tc>
        <w:tc>
          <w:tcPr>
            <w:tcW w:type="dxa" w:w="4320"/>
          </w:tcPr>
          <w:p>
            <w:r>
              <w:t>2026-06-30</w:t>
            </w:r>
          </w:p>
        </w:tc>
      </w:tr>
      <w:tr>
        <w:tc>
          <w:tcPr>
            <w:tcW w:type="dxa" w:w="4320"/>
          </w:tcPr>
          <w:p>
            <w:r>
              <w:t>LTV</w:t>
            </w:r>
          </w:p>
        </w:tc>
        <w:tc>
          <w:tcPr>
            <w:tcW w:type="dxa" w:w="4320"/>
          </w:tcPr>
          <w:p>
            <w:r>
              <w:t>109%</w:t>
            </w:r>
          </w:p>
        </w:tc>
      </w:tr>
      <w:tr>
        <w:tc>
          <w:tcPr>
            <w:tcW w:type="dxa" w:w="4320"/>
          </w:tcPr>
          <w:p>
            <w:r>
              <w:t>Guarantee type</w:t>
            </w:r>
          </w:p>
        </w:tc>
        <w:tc>
          <w:tcPr>
            <w:tcW w:type="dxa" w:w="4320"/>
          </w:tcPr>
          <w:p>
            <w:r>
              <w:t>corporate</w:t>
            </w:r>
          </w:p>
        </w:tc>
      </w:tr>
      <w:tr>
        <w:tc>
          <w:tcPr>
            <w:tcW w:type="dxa" w:w="4320"/>
          </w:tcPr>
          <w:p>
            <w:r>
              <w:t>Guarantor</w:t>
            </w:r>
          </w:p>
        </w:tc>
        <w:tc>
          <w:tcPr>
            <w:tcW w:type="dxa" w:w="4320"/>
          </w:tcPr>
          <w:p>
            <w:r>
              <w:t>Al Khobar Modern Logistics Group holding company</w:t>
            </w:r>
          </w:p>
        </w:tc>
      </w:tr>
      <w:tr>
        <w:tc>
          <w:tcPr>
            <w:tcW w:type="dxa" w:w="4320"/>
          </w:tcPr>
          <w:p>
            <w:r>
              <w:t>Guarantee cover</w:t>
            </w:r>
          </w:p>
        </w:tc>
        <w:tc>
          <w:tcPr>
            <w:tcW w:type="dxa" w:w="4320"/>
          </w:tcPr>
          <w:p>
            <w:r>
              <w:t>100%</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1.5x</w:t>
            </w:r>
          </w:p>
        </w:tc>
      </w:tr>
      <w:tr>
        <w:tc>
          <w:tcPr>
            <w:tcW w:type="dxa" w:w="4320"/>
          </w:tcPr>
          <w:p>
            <w:r>
              <w:t>Debt/EBITDA maximum</w:t>
            </w:r>
          </w:p>
        </w:tc>
        <w:tc>
          <w:tcPr>
            <w:tcW w:type="dxa" w:w="4320"/>
          </w:tcPr>
          <w:p>
            <w:r>
              <w:t>3.0x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60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