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Najd Central Engineering Contracting Company</w:t>
      </w:r>
    </w:p>
    <w:p>
      <w:r>
        <w:t>Reference DD-203 · Corporate Banking · prepared by Abdullah Al-Zahrani · October 2026</w:t>
      </w:r>
    </w:p>
    <w:p>
      <w:r>
        <w:t>Synthetic demo data for CreditProbe. Not client data. Amounts in SAR million unless stated.</w:t>
      </w:r>
    </w:p>
    <w:p>
      <w:pPr>
        <w:pStyle w:val="Heading1"/>
      </w:pPr>
      <w:r>
        <w:t>1. Executive summary</w:t>
      </w:r>
    </w:p>
    <w:p>
      <w:r>
        <w:t>The relationship team requests a term finance of SAR 45 million over 5 years for Najd Central Engineering Contracting Company, priced at SAIBOR + 270 bps with a 40 bps upfront fee, offered on an unsecured basis. The purpose is working capital and equipment for a ministry of housing contract.</w:t>
      </w:r>
    </w:p>
    <w:p>
      <w:r>
        <w:t>The obligor is rated BB on the internal scale. Revenue grew from SAR 320 million in 2023 to SAR 372 million in 2025, and EBITDA from SAR 66 million to SAR 77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Najd Central Engineering Contracting Company</w:t>
            </w:r>
          </w:p>
        </w:tc>
      </w:tr>
      <w:tr>
        <w:tc>
          <w:tcPr>
            <w:tcW w:type="dxa" w:w="4320"/>
          </w:tcPr>
          <w:p>
            <w:r>
              <w:t>CR number</w:t>
            </w:r>
          </w:p>
        </w:tc>
        <w:tc>
          <w:tcPr>
            <w:tcW w:type="dxa" w:w="4320"/>
          </w:tcPr>
          <w:p>
            <w:r>
              <w:t>1010458812</w:t>
            </w:r>
          </w:p>
        </w:tc>
      </w:tr>
      <w:tr>
        <w:tc>
          <w:tcPr>
            <w:tcW w:type="dxa" w:w="4320"/>
          </w:tcPr>
          <w:p>
            <w:r>
              <w:t>Group</w:t>
            </w:r>
          </w:p>
        </w:tc>
        <w:tc>
          <w:tcPr>
            <w:tcW w:type="dxa" w:w="4320"/>
          </w:tcPr>
          <w:p>
            <w:r>
              <w:t>Najd Central Engineering Group (CG6292-119)</w:t>
            </w:r>
          </w:p>
        </w:tc>
      </w:tr>
      <w:tr>
        <w:tc>
          <w:tcPr>
            <w:tcW w:type="dxa" w:w="4320"/>
          </w:tcPr>
          <w:p>
            <w:r>
              <w:t>Sector</w:t>
            </w:r>
          </w:p>
        </w:tc>
        <w:tc>
          <w:tcPr>
            <w:tcW w:type="dxa" w:w="4320"/>
          </w:tcPr>
          <w:p>
            <w:r>
              <w:t>Construction</w:t>
            </w:r>
          </w:p>
        </w:tc>
      </w:tr>
      <w:tr>
        <w:tc>
          <w:tcPr>
            <w:tcW w:type="dxa" w:w="4320"/>
          </w:tcPr>
          <w:p>
            <w:r>
              <w:t>Region</w:t>
            </w:r>
          </w:p>
        </w:tc>
        <w:tc>
          <w:tcPr>
            <w:tcW w:type="dxa" w:w="4320"/>
          </w:tcPr>
          <w:p>
            <w:r>
              <w:t>Riyadh</w:t>
            </w:r>
          </w:p>
        </w:tc>
      </w:tr>
      <w:tr>
        <w:tc>
          <w:tcPr>
            <w:tcW w:type="dxa" w:w="4320"/>
          </w:tcPr>
          <w:p>
            <w:r>
              <w:t>Internal rating</w:t>
            </w:r>
          </w:p>
        </w:tc>
        <w:tc>
          <w:tcPr>
            <w:tcW w:type="dxa" w:w="4320"/>
          </w:tcPr>
          <w:p>
            <w:r>
              <w:t>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Abdullah Al-Zahrani</w:t>
            </w:r>
          </w:p>
        </w:tc>
      </w:tr>
    </w:tbl>
    <w:p/>
    <w:p>
      <w:pPr>
        <w:pStyle w:val="Heading1"/>
      </w:pPr>
      <w:r>
        <w:t>2. Background</w:t>
      </w:r>
    </w:p>
    <w:p>
      <w:r>
        <w:t>Najd Central Engineering Contracting Company was incorporated under commercial registration 1010458812 and operates from Riyadh. It is active in construction,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Najd Central Engineering Group (CG6292-119),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construction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320.0</w:t>
            </w:r>
          </w:p>
        </w:tc>
        <w:tc>
          <w:tcPr>
            <w:tcW w:type="dxa" w:w="2160"/>
          </w:tcPr>
          <w:p>
            <w:r>
              <w:t>345.0</w:t>
            </w:r>
          </w:p>
        </w:tc>
        <w:tc>
          <w:tcPr>
            <w:tcW w:type="dxa" w:w="2160"/>
          </w:tcPr>
          <w:p>
            <w:r>
              <w:t>372.0</w:t>
            </w:r>
          </w:p>
        </w:tc>
      </w:tr>
      <w:tr>
        <w:tc>
          <w:tcPr>
            <w:tcW w:type="dxa" w:w="2160"/>
          </w:tcPr>
          <w:p>
            <w:r>
              <w:t>EBITDA</w:t>
            </w:r>
          </w:p>
        </w:tc>
        <w:tc>
          <w:tcPr>
            <w:tcW w:type="dxa" w:w="2160"/>
          </w:tcPr>
          <w:p>
            <w:r>
              <w:t>66.0</w:t>
            </w:r>
          </w:p>
        </w:tc>
        <w:tc>
          <w:tcPr>
            <w:tcW w:type="dxa" w:w="2160"/>
          </w:tcPr>
          <w:p>
            <w:r>
              <w:t>70.0</w:t>
            </w:r>
          </w:p>
        </w:tc>
        <w:tc>
          <w:tcPr>
            <w:tcW w:type="dxa" w:w="2160"/>
          </w:tcPr>
          <w:p>
            <w:r>
              <w:t>77.0</w:t>
            </w:r>
          </w:p>
        </w:tc>
      </w:tr>
      <w:tr>
        <w:tc>
          <w:tcPr>
            <w:tcW w:type="dxa" w:w="2160"/>
          </w:tcPr>
          <w:p>
            <w:r>
              <w:t>Net income</w:t>
            </w:r>
          </w:p>
        </w:tc>
        <w:tc>
          <w:tcPr>
            <w:tcW w:type="dxa" w:w="2160"/>
          </w:tcPr>
          <w:p>
            <w:r>
              <w:t>12.0</w:t>
            </w:r>
          </w:p>
        </w:tc>
        <w:tc>
          <w:tcPr>
            <w:tcW w:type="dxa" w:w="2160"/>
          </w:tcPr>
          <w:p>
            <w:r>
              <w:t>13.0</w:t>
            </w:r>
          </w:p>
        </w:tc>
        <w:tc>
          <w:tcPr>
            <w:tcW w:type="dxa" w:w="2160"/>
          </w:tcPr>
          <w:p>
            <w:r>
              <w:t>15.0</w:t>
            </w:r>
          </w:p>
        </w:tc>
      </w:tr>
      <w:tr>
        <w:tc>
          <w:tcPr>
            <w:tcW w:type="dxa" w:w="2160"/>
          </w:tcPr>
          <w:p>
            <w:r>
              <w:t>Total debt</w:t>
            </w:r>
          </w:p>
        </w:tc>
        <w:tc>
          <w:tcPr>
            <w:tcW w:type="dxa" w:w="2160"/>
          </w:tcPr>
          <w:p>
            <w:r>
              <w:t>90.0</w:t>
            </w:r>
          </w:p>
        </w:tc>
        <w:tc>
          <w:tcPr>
            <w:tcW w:type="dxa" w:w="2160"/>
          </w:tcPr>
          <w:p>
            <w:r>
              <w:t>94.0</w:t>
            </w:r>
          </w:p>
        </w:tc>
        <w:tc>
          <w:tcPr>
            <w:tcW w:type="dxa" w:w="2160"/>
          </w:tcPr>
          <w:p>
            <w:r>
              <w:t>96.0</w:t>
            </w:r>
          </w:p>
        </w:tc>
      </w:tr>
      <w:tr>
        <w:tc>
          <w:tcPr>
            <w:tcW w:type="dxa" w:w="2160"/>
          </w:tcPr>
          <w:p>
            <w:r>
              <w:t>Cash and equivalents</w:t>
            </w:r>
          </w:p>
        </w:tc>
        <w:tc>
          <w:tcPr>
            <w:tcW w:type="dxa" w:w="2160"/>
          </w:tcPr>
          <w:p>
            <w:r>
              <w:t>22.0</w:t>
            </w:r>
          </w:p>
        </w:tc>
        <w:tc>
          <w:tcPr>
            <w:tcW w:type="dxa" w:w="2160"/>
          </w:tcPr>
          <w:p>
            <w:r>
              <w:t>20.0</w:t>
            </w:r>
          </w:p>
        </w:tc>
        <w:tc>
          <w:tcPr>
            <w:tcW w:type="dxa" w:w="2160"/>
          </w:tcPr>
          <w:p>
            <w:r>
              <w:t>24.0</w:t>
            </w:r>
          </w:p>
        </w:tc>
      </w:tr>
      <w:tr>
        <w:tc>
          <w:tcPr>
            <w:tcW w:type="dxa" w:w="2160"/>
          </w:tcPr>
          <w:p>
            <w:r>
              <w:t>Net worth (equity)</w:t>
            </w:r>
          </w:p>
        </w:tc>
        <w:tc>
          <w:tcPr>
            <w:tcW w:type="dxa" w:w="2160"/>
          </w:tcPr>
          <w:p>
            <w:r>
              <w:t>140.0</w:t>
            </w:r>
          </w:p>
        </w:tc>
        <w:tc>
          <w:tcPr>
            <w:tcW w:type="dxa" w:w="2160"/>
          </w:tcPr>
          <w:p>
            <w:r>
              <w:t>150.0</w:t>
            </w:r>
          </w:p>
        </w:tc>
        <w:tc>
          <w:tcPr>
            <w:tcW w:type="dxa" w:w="2160"/>
          </w:tcPr>
          <w:p>
            <w:r>
              <w:t>162.0</w:t>
            </w:r>
          </w:p>
        </w:tc>
      </w:tr>
      <w:tr>
        <w:tc>
          <w:tcPr>
            <w:tcW w:type="dxa" w:w="2160"/>
          </w:tcPr>
          <w:p>
            <w:r>
              <w:t>Operating cash flow</w:t>
            </w:r>
          </w:p>
        </w:tc>
        <w:tc>
          <w:tcPr>
            <w:tcW w:type="dxa" w:w="2160"/>
          </w:tcPr>
          <w:p>
            <w:r>
              <w:t>30.0</w:t>
            </w:r>
          </w:p>
        </w:tc>
        <w:tc>
          <w:tcPr>
            <w:tcW w:type="dxa" w:w="2160"/>
          </w:tcPr>
          <w:p>
            <w:r>
              <w:t>33.0</w:t>
            </w:r>
          </w:p>
        </w:tc>
        <w:tc>
          <w:tcPr>
            <w:tcW w:type="dxa" w:w="2160"/>
          </w:tcPr>
          <w:p>
            <w:r>
              <w:t>36.0</w:t>
            </w:r>
          </w:p>
        </w:tc>
      </w:tr>
      <w:tr>
        <w:tc>
          <w:tcPr>
            <w:tcW w:type="dxa" w:w="2160"/>
          </w:tcPr>
          <w:p>
            <w:r>
              <w:t>Capital expenditure</w:t>
            </w:r>
          </w:p>
        </w:tc>
        <w:tc>
          <w:tcPr>
            <w:tcW w:type="dxa" w:w="2160"/>
          </w:tcPr>
          <w:p>
            <w:r>
              <w:t>18.0</w:t>
            </w:r>
          </w:p>
        </w:tc>
        <w:tc>
          <w:tcPr>
            <w:tcW w:type="dxa" w:w="2160"/>
          </w:tcPr>
          <w:p>
            <w:r>
              <w:t>20.0</w:t>
            </w:r>
          </w:p>
        </w:tc>
        <w:tc>
          <w:tcPr>
            <w:tcW w:type="dxa" w:w="2160"/>
          </w:tcPr>
          <w:p>
            <w:r>
              <w:t>22.0</w:t>
            </w:r>
          </w:p>
        </w:tc>
      </w:tr>
      <w:tr>
        <w:tc>
          <w:tcPr>
            <w:tcW w:type="dxa" w:w="2160"/>
          </w:tcPr>
          <w:p>
            <w:r>
              <w:t>Interest expense</w:t>
            </w:r>
          </w:p>
        </w:tc>
        <w:tc>
          <w:tcPr>
            <w:tcW w:type="dxa" w:w="2160"/>
          </w:tcPr>
          <w:p>
            <w:r>
              <w:t>9.0</w:t>
            </w:r>
          </w:p>
        </w:tc>
        <w:tc>
          <w:tcPr>
            <w:tcW w:type="dxa" w:w="2160"/>
          </w:tcPr>
          <w:p>
            <w:r>
              <w:t>9.5</w:t>
            </w:r>
          </w:p>
        </w:tc>
        <w:tc>
          <w:tcPr>
            <w:tcW w:type="dxa" w:w="2160"/>
          </w:tcPr>
          <w:p>
            <w:r>
              <w:t>10.0</w:t>
            </w:r>
          </w:p>
        </w:tc>
      </w:tr>
      <w:tr>
        <w:tc>
          <w:tcPr>
            <w:tcW w:type="dxa" w:w="2160"/>
          </w:tcPr>
          <w:p>
            <w:r>
              <w:t>Debt service</w:t>
            </w:r>
          </w:p>
        </w:tc>
        <w:tc>
          <w:tcPr>
            <w:tcW w:type="dxa" w:w="2160"/>
          </w:tcPr>
          <w:p>
            <w:r>
              <w:t>24.0</w:t>
            </w:r>
          </w:p>
        </w:tc>
        <w:tc>
          <w:tcPr>
            <w:tcW w:type="dxa" w:w="2160"/>
          </w:tcPr>
          <w:p>
            <w:r>
              <w:t>25.2</w:t>
            </w:r>
          </w:p>
        </w:tc>
        <w:tc>
          <w:tcPr>
            <w:tcW w:type="dxa" w:w="2160"/>
          </w:tcPr>
          <w:p>
            <w:r>
              <w:t>26.0</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1.25x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Murabaha</w:t>
            </w:r>
          </w:p>
        </w:tc>
      </w:tr>
      <w:tr>
        <w:tc>
          <w:tcPr>
            <w:tcW w:type="dxa" w:w="4320"/>
          </w:tcPr>
          <w:p>
            <w:r>
              <w:t>Currency</w:t>
            </w:r>
          </w:p>
        </w:tc>
        <w:tc>
          <w:tcPr>
            <w:tcW w:type="dxa" w:w="4320"/>
          </w:tcPr>
          <w:p>
            <w:r>
              <w:t>SAR</w:t>
            </w:r>
          </w:p>
        </w:tc>
      </w:tr>
      <w:tr>
        <w:tc>
          <w:tcPr>
            <w:tcW w:type="dxa" w:w="4320"/>
          </w:tcPr>
          <w:p>
            <w:r>
              <w:t>Amount</w:t>
            </w:r>
          </w:p>
        </w:tc>
        <w:tc>
          <w:tcPr>
            <w:tcW w:type="dxa" w:w="4320"/>
          </w:tcPr>
          <w:p>
            <w:r>
              <w:t>SAR 45 million</w:t>
            </w:r>
          </w:p>
        </w:tc>
      </w:tr>
      <w:tr>
        <w:tc>
          <w:tcPr>
            <w:tcW w:type="dxa" w:w="4320"/>
          </w:tcPr>
          <w:p>
            <w:r>
              <w:t>Tenor</w:t>
            </w:r>
          </w:p>
        </w:tc>
        <w:tc>
          <w:tcPr>
            <w:tcW w:type="dxa" w:w="4320"/>
          </w:tcPr>
          <w:p>
            <w:r>
              <w:t>5 years</w:t>
            </w:r>
          </w:p>
        </w:tc>
      </w:tr>
      <w:tr>
        <w:tc>
          <w:tcPr>
            <w:tcW w:type="dxa" w:w="4320"/>
          </w:tcPr>
          <w:p>
            <w:r>
              <w:t>Grace</w:t>
            </w:r>
          </w:p>
        </w:tc>
        <w:tc>
          <w:tcPr>
            <w:tcW w:type="dxa" w:w="4320"/>
          </w:tcPr>
          <w:p>
            <w:r>
              <w:t>0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+ 270 bps</w:t>
            </w:r>
          </w:p>
        </w:tc>
      </w:tr>
      <w:tr>
        <w:tc>
          <w:tcPr>
            <w:tcW w:type="dxa" w:w="4320"/>
          </w:tcPr>
          <w:p>
            <w:r>
              <w:t>Upfront fee</w:t>
            </w:r>
          </w:p>
        </w:tc>
        <w:tc>
          <w:tcPr>
            <w:tcW w:type="dxa" w:w="4320"/>
          </w:tcPr>
          <w:p>
            <w:r>
              <w:t>40 bps</w:t>
            </w:r>
          </w:p>
        </w:tc>
      </w:tr>
      <w:tr>
        <w:tc>
          <w:tcPr>
            <w:tcW w:type="dxa" w:w="4320"/>
          </w:tcPr>
          <w:p>
            <w:r>
              <w:t>Commitment fee</w:t>
            </w:r>
          </w:p>
        </w:tc>
        <w:tc>
          <w:tcPr>
            <w:tcW w:type="dxa" w:w="4320"/>
          </w:tcPr>
          <w:p>
            <w:r>
              <w:t>20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Working capital and equipment for a Ministry of Housing contract.</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None offered</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None proposed</w:t>
            </w:r>
          </w:p>
        </w:tc>
      </w:tr>
      <w:tr>
        <w:tc>
          <w:tcPr>
            <w:tcW w:type="dxa" w:w="4320"/>
          </w:tcPr>
          <w:p>
            <w:r>
              <w:t>Debt/EBITDA maximum</w:t>
            </w:r>
          </w:p>
        </w:tc>
        <w:tc>
          <w:tcPr>
            <w:tcW w:type="dxa" w:w="4320"/>
          </w:tcPr>
          <w:p>
            <w:r>
              <w:t>None proposed</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45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