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Tabuk Dates Processing Company</w:t>
      </w:r>
    </w:p>
    <w:p>
      <w:r>
        <w:t>Reference DD-204 · Corporate Banking · prepared by Khalid Al-Otaibi · October 2026</w:t>
      </w:r>
    </w:p>
    <w:p>
      <w:r>
        <w:t>Synthetic demo data for CreditProbe. Not client data. Amounts in SAR million unless stated.</w:t>
      </w:r>
    </w:p>
    <w:p>
      <w:pPr>
        <w:pStyle w:val="Heading1"/>
      </w:pPr>
      <w:r>
        <w:t>1. Executive summary</w:t>
      </w:r>
    </w:p>
    <w:p>
      <w:r>
        <w:t>The relationship team requests a term finance of SAR 35 million over 4 years for Tabuk Dates Processing Company, priced at SAIBOR + 230 bps with a 60 bps upfront fee, secured by receivables valued at SAR 20 million. The purpose is packing plant upgrade and cold storage.</w:t>
      </w:r>
    </w:p>
    <w:p>
      <w:r>
        <w:t>The obligor is rated BBB+ on the internal scale. Revenue grew from SAR 190 million in 2023 to SAR 236 million in 2025, and EBITDA from SAR 38 million to SAR 48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Tabuk Dates Processing Company</w:t>
            </w:r>
          </w:p>
        </w:tc>
      </w:tr>
      <w:tr>
        <w:tc>
          <w:tcPr>
            <w:tcW w:type="dxa" w:w="4320"/>
          </w:tcPr>
          <w:p>
            <w:r>
              <w:t>CR number</w:t>
            </w:r>
          </w:p>
        </w:tc>
        <w:tc>
          <w:tcPr>
            <w:tcW w:type="dxa" w:w="4320"/>
          </w:tcPr>
          <w:p>
            <w:r>
              <w:t>3550120944</w:t>
            </w:r>
          </w:p>
        </w:tc>
      </w:tr>
      <w:tr>
        <w:tc>
          <w:tcPr>
            <w:tcW w:type="dxa" w:w="4320"/>
          </w:tcPr>
          <w:p>
            <w:r>
              <w:t>Group</w:t>
            </w:r>
          </w:p>
        </w:tc>
        <w:tc>
          <w:tcPr>
            <w:tcW w:type="dxa" w:w="4320"/>
          </w:tcPr>
          <w:p>
            <w:r>
              <w:t>None (new to bank)</w:t>
            </w:r>
          </w:p>
        </w:tc>
      </w:tr>
      <w:tr>
        <w:tc>
          <w:tcPr>
            <w:tcW w:type="dxa" w:w="4320"/>
          </w:tcPr>
          <w:p>
            <w:r>
              <w:t>Sector</w:t>
            </w:r>
          </w:p>
        </w:tc>
        <w:tc>
          <w:tcPr>
            <w:tcW w:type="dxa" w:w="4320"/>
          </w:tcPr>
          <w:p>
            <w:r>
              <w:t>Agriculture and Agri-processing</w:t>
            </w:r>
          </w:p>
        </w:tc>
      </w:tr>
      <w:tr>
        <w:tc>
          <w:tcPr>
            <w:tcW w:type="dxa" w:w="4320"/>
          </w:tcPr>
          <w:p>
            <w:r>
              <w:t>Region</w:t>
            </w:r>
          </w:p>
        </w:tc>
        <w:tc>
          <w:tcPr>
            <w:tcW w:type="dxa" w:w="4320"/>
          </w:tcPr>
          <w:p>
            <w:r>
              <w:t>Tabuk</w:t>
            </w:r>
          </w:p>
        </w:tc>
      </w:tr>
      <w:tr>
        <w:tc>
          <w:tcPr>
            <w:tcW w:type="dxa" w:w="4320"/>
          </w:tcPr>
          <w:p>
            <w:r>
              <w:t>Internal rating</w:t>
            </w:r>
          </w:p>
        </w:tc>
        <w:tc>
          <w:tcPr>
            <w:tcW w:type="dxa" w:w="4320"/>
          </w:tcPr>
          <w:p>
            <w:r>
              <w:t>BBB+</w:t>
            </w:r>
          </w:p>
        </w:tc>
      </w:tr>
      <w:tr>
        <w:tc>
          <w:tcPr>
            <w:tcW w:type="dxa" w:w="4320"/>
          </w:tcPr>
          <w:p>
            <w:r>
              <w:t>External rating</w:t>
            </w:r>
          </w:p>
        </w:tc>
        <w:tc>
          <w:tcPr>
            <w:tcW w:type="dxa" w:w="4320"/>
          </w:tcPr>
          <w:p>
            <w:r>
              <w:t>BBB+ (S&amp;P)</w:t>
            </w:r>
          </w:p>
        </w:tc>
      </w:tr>
      <w:tr>
        <w:tc>
          <w:tcPr>
            <w:tcW w:type="dxa" w:w="4320"/>
          </w:tcPr>
          <w:p>
            <w:r>
              <w:t>SIMAH</w:t>
            </w:r>
          </w:p>
        </w:tc>
        <w:tc>
          <w:tcPr>
            <w:tcW w:type="dxa" w:w="4320"/>
          </w:tcPr>
          <w:p>
            <w:r>
              <w:t>clear</w:t>
            </w:r>
          </w:p>
        </w:tc>
      </w:tr>
      <w:tr>
        <w:tc>
          <w:tcPr>
            <w:tcW w:type="dxa" w:w="4320"/>
          </w:tcPr>
          <w:p>
            <w:r>
              <w:t>Relationship manager</w:t>
            </w:r>
          </w:p>
        </w:tc>
        <w:tc>
          <w:tcPr>
            <w:tcW w:type="dxa" w:w="4320"/>
          </w:tcPr>
          <w:p>
            <w:r>
              <w:t>Khalid Al-Otaibi</w:t>
            </w:r>
          </w:p>
        </w:tc>
      </w:tr>
    </w:tbl>
    <w:p/>
    <w:p>
      <w:pPr>
        <w:pStyle w:val="Heading1"/>
      </w:pPr>
      <w:r>
        <w:t>2. Background</w:t>
      </w:r>
    </w:p>
    <w:p>
      <w:r>
        <w:t>Tabuk Dates Processing Company was incorporated under commercial registration 3550120944 and operates from Tabuk. It is active in agriculture and agri-processing,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new to the bank and is not part of a group in the corporate book. Ownership is held by the founding family (70%) and a regional private-equity fund (30%). No connected parties hold facilities with the bank.</w:t>
      </w:r>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agriculture and agri-processing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190.0</w:t>
            </w:r>
          </w:p>
        </w:tc>
        <w:tc>
          <w:tcPr>
            <w:tcW w:type="dxa" w:w="2160"/>
          </w:tcPr>
          <w:p>
            <w:r>
              <w:t>212.0</w:t>
            </w:r>
          </w:p>
        </w:tc>
        <w:tc>
          <w:tcPr>
            <w:tcW w:type="dxa" w:w="2160"/>
          </w:tcPr>
          <w:p>
            <w:r>
              <w:t>236.0</w:t>
            </w:r>
          </w:p>
        </w:tc>
      </w:tr>
      <w:tr>
        <w:tc>
          <w:tcPr>
            <w:tcW w:type="dxa" w:w="2160"/>
          </w:tcPr>
          <w:p>
            <w:r>
              <w:t>EBITDA</w:t>
            </w:r>
          </w:p>
        </w:tc>
        <w:tc>
          <w:tcPr>
            <w:tcW w:type="dxa" w:w="2160"/>
          </w:tcPr>
          <w:p>
            <w:r>
              <w:t>38.0</w:t>
            </w:r>
          </w:p>
        </w:tc>
        <w:tc>
          <w:tcPr>
            <w:tcW w:type="dxa" w:w="2160"/>
          </w:tcPr>
          <w:p>
            <w:r>
              <w:t>43.0</w:t>
            </w:r>
          </w:p>
        </w:tc>
        <w:tc>
          <w:tcPr>
            <w:tcW w:type="dxa" w:w="2160"/>
          </w:tcPr>
          <w:p>
            <w:r>
              <w:t>48.0</w:t>
            </w:r>
          </w:p>
        </w:tc>
      </w:tr>
      <w:tr>
        <w:tc>
          <w:tcPr>
            <w:tcW w:type="dxa" w:w="2160"/>
          </w:tcPr>
          <w:p>
            <w:r>
              <w:t>Net income</w:t>
            </w:r>
          </w:p>
        </w:tc>
        <w:tc>
          <w:tcPr>
            <w:tcW w:type="dxa" w:w="2160"/>
          </w:tcPr>
          <w:p>
            <w:r>
              <w:t>18.0</w:t>
            </w:r>
          </w:p>
        </w:tc>
        <w:tc>
          <w:tcPr>
            <w:tcW w:type="dxa" w:w="2160"/>
          </w:tcPr>
          <w:p>
            <w:r>
              <w:t>21.0</w:t>
            </w:r>
          </w:p>
        </w:tc>
        <w:tc>
          <w:tcPr>
            <w:tcW w:type="dxa" w:w="2160"/>
          </w:tcPr>
          <w:p>
            <w:r>
              <w:t>24.0</w:t>
            </w:r>
          </w:p>
        </w:tc>
      </w:tr>
      <w:tr>
        <w:tc>
          <w:tcPr>
            <w:tcW w:type="dxa" w:w="2160"/>
          </w:tcPr>
          <w:p>
            <w:r>
              <w:t>Total debt</w:t>
            </w:r>
          </w:p>
        </w:tc>
        <w:tc>
          <w:tcPr>
            <w:tcW w:type="dxa" w:w="2160"/>
          </w:tcPr>
          <w:p>
            <w:r>
              <w:t>55.0</w:t>
            </w:r>
          </w:p>
        </w:tc>
        <w:tc>
          <w:tcPr>
            <w:tcW w:type="dxa" w:w="2160"/>
          </w:tcPr>
          <w:p>
            <w:r>
              <w:t>52.0</w:t>
            </w:r>
          </w:p>
        </w:tc>
        <w:tc>
          <w:tcPr>
            <w:tcW w:type="dxa" w:w="2160"/>
          </w:tcPr>
          <w:p>
            <w:r>
              <w:t>50.0</w:t>
            </w:r>
          </w:p>
        </w:tc>
      </w:tr>
      <w:tr>
        <w:tc>
          <w:tcPr>
            <w:tcW w:type="dxa" w:w="2160"/>
          </w:tcPr>
          <w:p>
            <w:r>
              <w:t>Cash and equivalents</w:t>
            </w:r>
          </w:p>
        </w:tc>
        <w:tc>
          <w:tcPr>
            <w:tcW w:type="dxa" w:w="2160"/>
          </w:tcPr>
          <w:p>
            <w:r>
              <w:t>21.0</w:t>
            </w:r>
          </w:p>
        </w:tc>
        <w:tc>
          <w:tcPr>
            <w:tcW w:type="dxa" w:w="2160"/>
          </w:tcPr>
          <w:p>
            <w:r>
              <w:t>26.0</w:t>
            </w:r>
          </w:p>
        </w:tc>
        <w:tc>
          <w:tcPr>
            <w:tcW w:type="dxa" w:w="2160"/>
          </w:tcPr>
          <w:p>
            <w:r>
              <w:t>30.0</w:t>
            </w:r>
          </w:p>
        </w:tc>
      </w:tr>
      <w:tr>
        <w:tc>
          <w:tcPr>
            <w:tcW w:type="dxa" w:w="2160"/>
          </w:tcPr>
          <w:p>
            <w:r>
              <w:t>Net worth (equity)</w:t>
            </w:r>
          </w:p>
        </w:tc>
        <w:tc>
          <w:tcPr>
            <w:tcW w:type="dxa" w:w="2160"/>
          </w:tcPr>
          <w:p>
            <w:r>
              <w:t>160.0</w:t>
            </w:r>
          </w:p>
        </w:tc>
        <w:tc>
          <w:tcPr>
            <w:tcW w:type="dxa" w:w="2160"/>
          </w:tcPr>
          <w:p>
            <w:r>
              <w:t>178.0</w:t>
            </w:r>
          </w:p>
        </w:tc>
        <w:tc>
          <w:tcPr>
            <w:tcW w:type="dxa" w:w="2160"/>
          </w:tcPr>
          <w:p>
            <w:r>
              <w:t>198.0</w:t>
            </w:r>
          </w:p>
        </w:tc>
      </w:tr>
      <w:tr>
        <w:tc>
          <w:tcPr>
            <w:tcW w:type="dxa" w:w="2160"/>
          </w:tcPr>
          <w:p>
            <w:r>
              <w:t>Operating cash flow</w:t>
            </w:r>
          </w:p>
        </w:tc>
        <w:tc>
          <w:tcPr>
            <w:tcW w:type="dxa" w:w="2160"/>
          </w:tcPr>
          <w:p>
            <w:r>
              <w:t>34.0</w:t>
            </w:r>
          </w:p>
        </w:tc>
        <w:tc>
          <w:tcPr>
            <w:tcW w:type="dxa" w:w="2160"/>
          </w:tcPr>
          <w:p>
            <w:r>
              <w:t>39.0</w:t>
            </w:r>
          </w:p>
        </w:tc>
        <w:tc>
          <w:tcPr>
            <w:tcW w:type="dxa" w:w="2160"/>
          </w:tcPr>
          <w:p>
            <w:r>
              <w:t>44.0</w:t>
            </w:r>
          </w:p>
        </w:tc>
      </w:tr>
      <w:tr>
        <w:tc>
          <w:tcPr>
            <w:tcW w:type="dxa" w:w="2160"/>
          </w:tcPr>
          <w:p>
            <w:r>
              <w:t>Capital expenditure</w:t>
            </w:r>
          </w:p>
        </w:tc>
        <w:tc>
          <w:tcPr>
            <w:tcW w:type="dxa" w:w="2160"/>
          </w:tcPr>
          <w:p>
            <w:r>
              <w:t>9.0</w:t>
            </w:r>
          </w:p>
        </w:tc>
        <w:tc>
          <w:tcPr>
            <w:tcW w:type="dxa" w:w="2160"/>
          </w:tcPr>
          <w:p>
            <w:r>
              <w:t>11.0</w:t>
            </w:r>
          </w:p>
        </w:tc>
        <w:tc>
          <w:tcPr>
            <w:tcW w:type="dxa" w:w="2160"/>
          </w:tcPr>
          <w:p>
            <w:r>
              <w:t>12.0</w:t>
            </w:r>
          </w:p>
        </w:tc>
      </w:tr>
      <w:tr>
        <w:tc>
          <w:tcPr>
            <w:tcW w:type="dxa" w:w="2160"/>
          </w:tcPr>
          <w:p>
            <w:r>
              <w:t>Interest expense</w:t>
            </w:r>
          </w:p>
        </w:tc>
        <w:tc>
          <w:tcPr>
            <w:tcW w:type="dxa" w:w="2160"/>
          </w:tcPr>
          <w:p>
            <w:r>
              <w:t>3.0</w:t>
            </w:r>
          </w:p>
        </w:tc>
        <w:tc>
          <w:tcPr>
            <w:tcW w:type="dxa" w:w="2160"/>
          </w:tcPr>
          <w:p>
            <w:r>
              <w:t>2.8</w:t>
            </w:r>
          </w:p>
        </w:tc>
        <w:tc>
          <w:tcPr>
            <w:tcW w:type="dxa" w:w="2160"/>
          </w:tcPr>
          <w:p>
            <w:r>
              <w:t>2.6</w:t>
            </w:r>
          </w:p>
        </w:tc>
      </w:tr>
      <w:tr>
        <w:tc>
          <w:tcPr>
            <w:tcW w:type="dxa" w:w="2160"/>
          </w:tcPr>
          <w:p>
            <w:r>
              <w:t>Debt service</w:t>
            </w:r>
          </w:p>
        </w:tc>
        <w:tc>
          <w:tcPr>
            <w:tcW w:type="dxa" w:w="2160"/>
          </w:tcPr>
          <w:p>
            <w:r>
              <w:t>12.2</w:t>
            </w:r>
          </w:p>
        </w:tc>
        <w:tc>
          <w:tcPr>
            <w:tcW w:type="dxa" w:w="2160"/>
          </w:tcPr>
          <w:p>
            <w:r>
              <w:t>11.5</w:t>
            </w:r>
          </w:p>
        </w:tc>
        <w:tc>
          <w:tcPr>
            <w:tcW w:type="dxa" w:w="2160"/>
          </w:tcPr>
          <w:p>
            <w:r>
              <w:t>10.9</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1.04x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Murabaha</w:t>
            </w:r>
          </w:p>
        </w:tc>
      </w:tr>
      <w:tr>
        <w:tc>
          <w:tcPr>
            <w:tcW w:type="dxa" w:w="4320"/>
          </w:tcPr>
          <w:p>
            <w:r>
              <w:t>Currency</w:t>
            </w:r>
          </w:p>
        </w:tc>
        <w:tc>
          <w:tcPr>
            <w:tcW w:type="dxa" w:w="4320"/>
          </w:tcPr>
          <w:p>
            <w:r>
              <w:t>SAR</w:t>
            </w:r>
          </w:p>
        </w:tc>
      </w:tr>
      <w:tr>
        <w:tc>
          <w:tcPr>
            <w:tcW w:type="dxa" w:w="4320"/>
          </w:tcPr>
          <w:p>
            <w:r>
              <w:t>Amount</w:t>
            </w:r>
          </w:p>
        </w:tc>
        <w:tc>
          <w:tcPr>
            <w:tcW w:type="dxa" w:w="4320"/>
          </w:tcPr>
          <w:p>
            <w:r>
              <w:t>SAR 35 million</w:t>
            </w:r>
          </w:p>
        </w:tc>
      </w:tr>
      <w:tr>
        <w:tc>
          <w:tcPr>
            <w:tcW w:type="dxa" w:w="4320"/>
          </w:tcPr>
          <w:p>
            <w:r>
              <w:t>Tenor</w:t>
            </w:r>
          </w:p>
        </w:tc>
        <w:tc>
          <w:tcPr>
            <w:tcW w:type="dxa" w:w="4320"/>
          </w:tcPr>
          <w:p>
            <w:r>
              <w:t>4 years</w:t>
            </w:r>
          </w:p>
        </w:tc>
      </w:tr>
      <w:tr>
        <w:tc>
          <w:tcPr>
            <w:tcW w:type="dxa" w:w="4320"/>
          </w:tcPr>
          <w:p>
            <w:r>
              <w:t>Grace</w:t>
            </w:r>
          </w:p>
        </w:tc>
        <w:tc>
          <w:tcPr>
            <w:tcW w:type="dxa" w:w="4320"/>
          </w:tcPr>
          <w:p>
            <w:r>
              <w:t>0 years</w:t>
            </w:r>
          </w:p>
        </w:tc>
      </w:tr>
      <w:tr>
        <w:tc>
          <w:tcPr>
            <w:tcW w:type="dxa" w:w="4320"/>
          </w:tcPr>
          <w:p>
            <w:r>
              <w:t>Repayment</w:t>
            </w:r>
          </w:p>
        </w:tc>
        <w:tc>
          <w:tcPr>
            <w:tcW w:type="dxa" w:w="4320"/>
          </w:tcPr>
          <w:p>
            <w:r>
              <w:t>equal</w:t>
            </w:r>
          </w:p>
        </w:tc>
      </w:tr>
      <w:tr>
        <w:tc>
          <w:tcPr>
            <w:tcW w:type="dxa" w:w="4320"/>
          </w:tcPr>
          <w:p>
            <w:r>
              <w:t>Margin</w:t>
            </w:r>
          </w:p>
        </w:tc>
        <w:tc>
          <w:tcPr>
            <w:tcW w:type="dxa" w:w="4320"/>
          </w:tcPr>
          <w:p>
            <w:r>
              <w:t>SAIBOR + 230 bps</w:t>
            </w:r>
          </w:p>
        </w:tc>
      </w:tr>
      <w:tr>
        <w:tc>
          <w:tcPr>
            <w:tcW w:type="dxa" w:w="4320"/>
          </w:tcPr>
          <w:p>
            <w:r>
              <w:t>Upfront fee</w:t>
            </w:r>
          </w:p>
        </w:tc>
        <w:tc>
          <w:tcPr>
            <w:tcW w:type="dxa" w:w="4320"/>
          </w:tcPr>
          <w:p>
            <w:r>
              <w:t>60 bps</w:t>
            </w:r>
          </w:p>
        </w:tc>
      </w:tr>
      <w:tr>
        <w:tc>
          <w:tcPr>
            <w:tcW w:type="dxa" w:w="4320"/>
          </w:tcPr>
          <w:p>
            <w:r>
              <w:t>Commitment fee</w:t>
            </w:r>
          </w:p>
        </w:tc>
        <w:tc>
          <w:tcPr>
            <w:tcW w:type="dxa" w:w="4320"/>
          </w:tcPr>
          <w:p>
            <w:r>
              <w:t>20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Packing plant upgrade and cold storage.</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receivables</w:t>
            </w:r>
          </w:p>
        </w:tc>
      </w:tr>
      <w:tr>
        <w:tc>
          <w:tcPr>
            <w:tcW w:type="dxa" w:w="4320"/>
          </w:tcPr>
          <w:p>
            <w:r>
              <w:t>Collateral value</w:t>
            </w:r>
          </w:p>
        </w:tc>
        <w:tc>
          <w:tcPr>
            <w:tcW w:type="dxa" w:w="4320"/>
          </w:tcPr>
          <w:p>
            <w:r>
              <w:t>SAR 20 million</w:t>
            </w:r>
          </w:p>
        </w:tc>
      </w:tr>
      <w:tr>
        <w:tc>
          <w:tcPr>
            <w:tcW w:type="dxa" w:w="4320"/>
          </w:tcPr>
          <w:p>
            <w:r>
              <w:t>Valuation date</w:t>
            </w:r>
          </w:p>
        </w:tc>
        <w:tc>
          <w:tcPr>
            <w:tcW w:type="dxa" w:w="4320"/>
          </w:tcPr>
          <w:p>
            <w:r>
              <w:t>2026-06-30</w:t>
            </w:r>
          </w:p>
        </w:tc>
      </w:tr>
      <w:tr>
        <w:tc>
          <w:tcPr>
            <w:tcW w:type="dxa" w:w="4320"/>
          </w:tcPr>
          <w:p>
            <w:r>
              <w:t>LTV</w:t>
            </w:r>
          </w:p>
        </w:tc>
        <w:tc>
          <w:tcPr>
            <w:tcW w:type="dxa" w:w="4320"/>
          </w:tcPr>
          <w:p>
            <w:r>
              <w:t>175%</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1.4x</w:t>
            </w:r>
          </w:p>
        </w:tc>
      </w:tr>
      <w:tr>
        <w:tc>
          <w:tcPr>
            <w:tcW w:type="dxa" w:w="4320"/>
          </w:tcPr>
          <w:p>
            <w:r>
              <w:t>Debt/EBITDA maximum</w:t>
            </w:r>
          </w:p>
        </w:tc>
        <w:tc>
          <w:tcPr>
            <w:tcW w:type="dxa" w:w="4320"/>
          </w:tcPr>
          <w:p>
            <w:r>
              <w:t>2.5x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35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