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application · Jazan Cold Chain Services Company</w:t>
      </w:r>
    </w:p>
    <w:p>
      <w:r>
        <w:t>Reference DD-205 · Corporate Banking · prepared by Sara Al-Dosari · October 2026</w:t>
      </w:r>
    </w:p>
    <w:p>
      <w:r>
        <w:t>Synthetic demo data for CreditProbe. Not client data. Amounts in SAR million unless stated.</w:t>
      </w:r>
    </w:p>
    <w:p>
      <w:pPr>
        <w:pStyle w:val="Heading1"/>
      </w:pPr>
      <w:r>
        <w:t>1. Executive summary</w:t>
      </w:r>
    </w:p>
    <w:p>
      <w:r>
        <w:t>The relationship team requests a term finance of SAR 70 million over 6 years for Jazan Cold Chain Services Company, priced at SAIBOR + 240 bps with a 50 bps upfront fee, offered on an unsecured basis. The purpose is ijara over a new cold-chain warehouse at jazan port (asset to be identified).</w:t>
      </w:r>
    </w:p>
    <w:p>
      <w:r>
        <w:t>The obligor is rated BBB- on the internal scale. Revenue grew from SAR 150 million in 2023 to SAR 190 million in 2025, and EBITDA from SAR 56 million to SAR 71 million. The team recommends approval subject to the conditions in section 10.</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Obligor</w:t>
            </w:r>
          </w:p>
        </w:tc>
        <w:tc>
          <w:tcPr>
            <w:tcW w:type="dxa" w:w="4320"/>
          </w:tcPr>
          <w:p>
            <w:r>
              <w:t>Jazan Cold Chain Services Company</w:t>
            </w:r>
          </w:p>
        </w:tc>
      </w:tr>
      <w:tr>
        <w:tc>
          <w:tcPr>
            <w:tcW w:type="dxa" w:w="4320"/>
          </w:tcPr>
          <w:p>
            <w:r>
              <w:t>CR number</w:t>
            </w:r>
          </w:p>
        </w:tc>
        <w:tc>
          <w:tcPr>
            <w:tcW w:type="dxa" w:w="4320"/>
          </w:tcPr>
          <w:p>
            <w:r>
              <w:t>5900033712</w:t>
            </w:r>
          </w:p>
        </w:tc>
      </w:tr>
      <w:tr>
        <w:tc>
          <w:tcPr>
            <w:tcW w:type="dxa" w:w="4320"/>
          </w:tcPr>
          <w:p>
            <w:r>
              <w:t>Group</w:t>
            </w:r>
          </w:p>
        </w:tc>
        <w:tc>
          <w:tcPr>
            <w:tcW w:type="dxa" w:w="4320"/>
          </w:tcPr>
          <w:p>
            <w:r>
              <w:t>None (new to bank)</w:t>
            </w:r>
          </w:p>
        </w:tc>
      </w:tr>
      <w:tr>
        <w:tc>
          <w:tcPr>
            <w:tcW w:type="dxa" w:w="4320"/>
          </w:tcPr>
          <w:p>
            <w:r>
              <w:t>Sector</w:t>
            </w:r>
          </w:p>
        </w:tc>
        <w:tc>
          <w:tcPr>
            <w:tcW w:type="dxa" w:w="4320"/>
          </w:tcPr>
          <w:p>
            <w:r>
              <w:t>Transport and Logistics</w:t>
            </w:r>
          </w:p>
        </w:tc>
      </w:tr>
      <w:tr>
        <w:tc>
          <w:tcPr>
            <w:tcW w:type="dxa" w:w="4320"/>
          </w:tcPr>
          <w:p>
            <w:r>
              <w:t>Region</w:t>
            </w:r>
          </w:p>
        </w:tc>
        <w:tc>
          <w:tcPr>
            <w:tcW w:type="dxa" w:w="4320"/>
          </w:tcPr>
          <w:p>
            <w:r>
              <w:t>Jazan</w:t>
            </w:r>
          </w:p>
        </w:tc>
      </w:tr>
      <w:tr>
        <w:tc>
          <w:tcPr>
            <w:tcW w:type="dxa" w:w="4320"/>
          </w:tcPr>
          <w:p>
            <w:r>
              <w:t>Internal rating</w:t>
            </w:r>
          </w:p>
        </w:tc>
        <w:tc>
          <w:tcPr>
            <w:tcW w:type="dxa" w:w="4320"/>
          </w:tcPr>
          <w:p>
            <w:r>
              <w:t>BBB-</w:t>
            </w:r>
          </w:p>
        </w:tc>
      </w:tr>
      <w:tr>
        <w:tc>
          <w:tcPr>
            <w:tcW w:type="dxa" w:w="4320"/>
          </w:tcPr>
          <w:p>
            <w:r>
              <w:t>External rating</w:t>
            </w:r>
          </w:p>
        </w:tc>
        <w:tc>
          <w:tcPr>
            <w:tcW w:type="dxa" w:w="4320"/>
          </w:tcPr>
          <w:p>
            <w:r>
              <w:t>Unrated</w:t>
            </w:r>
          </w:p>
        </w:tc>
      </w:tr>
      <w:tr>
        <w:tc>
          <w:tcPr>
            <w:tcW w:type="dxa" w:w="4320"/>
          </w:tcPr>
          <w:p>
            <w:r>
              <w:t>SIMAH</w:t>
            </w:r>
          </w:p>
        </w:tc>
        <w:tc>
          <w:tcPr>
            <w:tcW w:type="dxa" w:w="4320"/>
          </w:tcPr>
          <w:p>
            <w:r>
              <w:t>clear</w:t>
            </w:r>
          </w:p>
        </w:tc>
      </w:tr>
      <w:tr>
        <w:tc>
          <w:tcPr>
            <w:tcW w:type="dxa" w:w="4320"/>
          </w:tcPr>
          <w:p>
            <w:r>
              <w:t>Relationship manager</w:t>
            </w:r>
          </w:p>
        </w:tc>
        <w:tc>
          <w:tcPr>
            <w:tcW w:type="dxa" w:w="4320"/>
          </w:tcPr>
          <w:p>
            <w:r>
              <w:t>Sara Al-Dosari</w:t>
            </w:r>
          </w:p>
        </w:tc>
      </w:tr>
    </w:tbl>
    <w:p/>
    <w:p>
      <w:pPr>
        <w:pStyle w:val="Heading1"/>
      </w:pPr>
      <w:r>
        <w:t>2. Background</w:t>
      </w:r>
    </w:p>
    <w:p>
      <w:r>
        <w:t>Jazan Cold Chain Services Company was incorporated under commercial registration 5900033712 and operates from Jazan. It is active in transport and logistics, serving government-linked and private customers across the Kingdom.</w:t>
      </w:r>
    </w:p>
    <w:p>
      <w:r>
        <w:t>The company has grown steadily under Vision 2030 programmes, with a stable customer base, contracted revenue for the next two years and a clean SIMAH record. The bank first met the company through its trade finance needs; this request would make the bank one of its two main lenders.</w:t>
      </w:r>
    </w:p>
    <w:p>
      <w:r>
        <w:t>Operations are organised in three divisions, each with its own budget and monthly reporting to the board. Audited statements for the last three years carry clean opinions from a top-ten audit firm.</w:t>
      </w:r>
    </w:p>
    <w:p>
      <w:pPr>
        <w:pStyle w:val="Heading1"/>
      </w:pPr>
      <w:r>
        <w:t>3. Group structure</w:t>
      </w:r>
    </w:p>
    <w:p>
      <w:r>
        <w:t>The obligor is new to the bank and is not part of a group in the corporate book. Ownership is held by the founding family (70%) and a regional private-equity fund (30%). No connected parties hold facilities with the bank.</w:t>
      </w:r>
    </w:p>
    <w:p>
      <w:pPr>
        <w:pStyle w:val="Heading1"/>
      </w:pPr>
      <w:r>
        <w:t>4. Management</w:t>
      </w:r>
    </w:p>
    <w:p>
      <w:r>
        <w:t>The chief executive has led the company for twelve years and previously held senior roles in a listed peer. The chief financial officer joined four years ago from a Big Four firm and introduced monthly management accounts and a treasury policy.</w:t>
      </w:r>
    </w:p>
    <w:p>
      <w:r>
        <w:t>The board has five members, two of them independent, and an audit committee that meets quarterly. Succession planning is documented for the top three roles.</w:t>
      </w:r>
    </w:p>
    <w:p>
      <w:pPr>
        <w:pStyle w:val="Heading1"/>
      </w:pPr>
      <w:r>
        <w:t>5. Industry</w:t>
      </w:r>
    </w:p>
    <w:p>
      <w:r>
        <w:t>The transport and logistics sector in Saudi Arabia benefits from public investment under Vision 2030 and from the growth of non-oil GDP. Competition is fragmented; larger players with scale and certification have pricing power.</w:t>
      </w:r>
    </w:p>
    <w:p>
      <w:r>
        <w:t>Key risks are payment delays from public-sector customers, input-cost inflation and concentration in a few large contracts. The bank's book holds the sector within its risk-appetite caps; the analysis tests the deal's effect on those caps.</w:t>
      </w:r>
    </w:p>
    <w:p>
      <w:pPr>
        <w:pStyle w:val="Heading1"/>
      </w:pPr>
      <w:r>
        <w:t>6. Financials</w:t>
      </w:r>
    </w:p>
    <w:p>
      <w:r>
        <w:t>Audited figures, SAR million. The latest actual year is used for the covenant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SAR million</w:t>
            </w:r>
          </w:p>
        </w:tc>
        <w:tc>
          <w:tcPr>
            <w:tcW w:type="dxa" w:w="2160"/>
          </w:tcPr>
          <w:p>
            <w:r>
              <w:t>2023</w:t>
            </w:r>
          </w:p>
        </w:tc>
        <w:tc>
          <w:tcPr>
            <w:tcW w:type="dxa" w:w="2160"/>
          </w:tcPr>
          <w:p>
            <w:r>
              <w:t>2024</w:t>
            </w:r>
          </w:p>
        </w:tc>
        <w:tc>
          <w:tcPr>
            <w:tcW w:type="dxa" w:w="2160"/>
          </w:tcPr>
          <w:p>
            <w:r>
              <w:t>2025</w:t>
            </w:r>
          </w:p>
        </w:tc>
      </w:tr>
      <w:tr>
        <w:tc>
          <w:tcPr>
            <w:tcW w:type="dxa" w:w="2160"/>
          </w:tcPr>
          <w:p>
            <w:r>
              <w:t>Revenue</w:t>
            </w:r>
          </w:p>
        </w:tc>
        <w:tc>
          <w:tcPr>
            <w:tcW w:type="dxa" w:w="2160"/>
          </w:tcPr>
          <w:p>
            <w:r>
              <w:t>150.0</w:t>
            </w:r>
          </w:p>
        </w:tc>
        <w:tc>
          <w:tcPr>
            <w:tcW w:type="dxa" w:w="2160"/>
          </w:tcPr>
          <w:p>
            <w:r>
              <w:t>171.0</w:t>
            </w:r>
          </w:p>
        </w:tc>
        <w:tc>
          <w:tcPr>
            <w:tcW w:type="dxa" w:w="2160"/>
          </w:tcPr>
          <w:p>
            <w:r>
              <w:t>190.0</w:t>
            </w:r>
          </w:p>
        </w:tc>
      </w:tr>
      <w:tr>
        <w:tc>
          <w:tcPr>
            <w:tcW w:type="dxa" w:w="2160"/>
          </w:tcPr>
          <w:p>
            <w:r>
              <w:t>EBITDA</w:t>
            </w:r>
          </w:p>
        </w:tc>
        <w:tc>
          <w:tcPr>
            <w:tcW w:type="dxa" w:w="2160"/>
          </w:tcPr>
          <w:p>
            <w:r>
              <w:t>56.0</w:t>
            </w:r>
          </w:p>
        </w:tc>
        <w:tc>
          <w:tcPr>
            <w:tcW w:type="dxa" w:w="2160"/>
          </w:tcPr>
          <w:p>
            <w:r>
              <w:t>65.0</w:t>
            </w:r>
          </w:p>
        </w:tc>
        <w:tc>
          <w:tcPr>
            <w:tcW w:type="dxa" w:w="2160"/>
          </w:tcPr>
          <w:p>
            <w:r>
              <w:t>71.0</w:t>
            </w:r>
          </w:p>
        </w:tc>
      </w:tr>
      <w:tr>
        <w:tc>
          <w:tcPr>
            <w:tcW w:type="dxa" w:w="2160"/>
          </w:tcPr>
          <w:p>
            <w:r>
              <w:t>Net income</w:t>
            </w:r>
          </w:p>
        </w:tc>
        <w:tc>
          <w:tcPr>
            <w:tcW w:type="dxa" w:w="2160"/>
          </w:tcPr>
          <w:p>
            <w:r>
              <w:t>11.0</w:t>
            </w:r>
          </w:p>
        </w:tc>
        <w:tc>
          <w:tcPr>
            <w:tcW w:type="dxa" w:w="2160"/>
          </w:tcPr>
          <w:p>
            <w:r>
              <w:t>13.0</w:t>
            </w:r>
          </w:p>
        </w:tc>
        <w:tc>
          <w:tcPr>
            <w:tcW w:type="dxa" w:w="2160"/>
          </w:tcPr>
          <w:p>
            <w:r>
              <w:t>15.0</w:t>
            </w:r>
          </w:p>
        </w:tc>
      </w:tr>
      <w:tr>
        <w:tc>
          <w:tcPr>
            <w:tcW w:type="dxa" w:w="2160"/>
          </w:tcPr>
          <w:p>
            <w:r>
              <w:t>Total debt</w:t>
            </w:r>
          </w:p>
        </w:tc>
        <w:tc>
          <w:tcPr>
            <w:tcW w:type="dxa" w:w="2160"/>
          </w:tcPr>
          <w:p>
            <w:r>
              <w:t>66.0</w:t>
            </w:r>
          </w:p>
        </w:tc>
        <w:tc>
          <w:tcPr>
            <w:tcW w:type="dxa" w:w="2160"/>
          </w:tcPr>
          <w:p>
            <w:r>
              <w:t>74.0</w:t>
            </w:r>
          </w:p>
        </w:tc>
        <w:tc>
          <w:tcPr>
            <w:tcW w:type="dxa" w:w="2160"/>
          </w:tcPr>
          <w:p>
            <w:r>
              <w:t>78.0</w:t>
            </w:r>
          </w:p>
        </w:tc>
      </w:tr>
      <w:tr>
        <w:tc>
          <w:tcPr>
            <w:tcW w:type="dxa" w:w="2160"/>
          </w:tcPr>
          <w:p>
            <w:r>
              <w:t>Cash and equivalents</w:t>
            </w:r>
          </w:p>
        </w:tc>
        <w:tc>
          <w:tcPr>
            <w:tcW w:type="dxa" w:w="2160"/>
          </w:tcPr>
          <w:p>
            <w:r>
              <w:t>14.0</w:t>
            </w:r>
          </w:p>
        </w:tc>
        <w:tc>
          <w:tcPr>
            <w:tcW w:type="dxa" w:w="2160"/>
          </w:tcPr>
          <w:p>
            <w:r>
              <w:t>17.0</w:t>
            </w:r>
          </w:p>
        </w:tc>
        <w:tc>
          <w:tcPr>
            <w:tcW w:type="dxa" w:w="2160"/>
          </w:tcPr>
          <w:p>
            <w:r>
              <w:t>19.0</w:t>
            </w:r>
          </w:p>
        </w:tc>
      </w:tr>
      <w:tr>
        <w:tc>
          <w:tcPr>
            <w:tcW w:type="dxa" w:w="2160"/>
          </w:tcPr>
          <w:p>
            <w:r>
              <w:t>Net worth (equity)</w:t>
            </w:r>
          </w:p>
        </w:tc>
        <w:tc>
          <w:tcPr>
            <w:tcW w:type="dxa" w:w="2160"/>
          </w:tcPr>
          <w:p>
            <w:r>
              <w:t>110.0</w:t>
            </w:r>
          </w:p>
        </w:tc>
        <w:tc>
          <w:tcPr>
            <w:tcW w:type="dxa" w:w="2160"/>
          </w:tcPr>
          <w:p>
            <w:r>
              <w:t>121.0</w:t>
            </w:r>
          </w:p>
        </w:tc>
        <w:tc>
          <w:tcPr>
            <w:tcW w:type="dxa" w:w="2160"/>
          </w:tcPr>
          <w:p>
            <w:r>
              <w:t>134.0</w:t>
            </w:r>
          </w:p>
        </w:tc>
      </w:tr>
      <w:tr>
        <w:tc>
          <w:tcPr>
            <w:tcW w:type="dxa" w:w="2160"/>
          </w:tcPr>
          <w:p>
            <w:r>
              <w:t>Operating cash flow</w:t>
            </w:r>
          </w:p>
        </w:tc>
        <w:tc>
          <w:tcPr>
            <w:tcW w:type="dxa" w:w="2160"/>
          </w:tcPr>
          <w:p>
            <w:r>
              <w:t>27.0</w:t>
            </w:r>
          </w:p>
        </w:tc>
        <w:tc>
          <w:tcPr>
            <w:tcW w:type="dxa" w:w="2160"/>
          </w:tcPr>
          <w:p>
            <w:r>
              <w:t>31.0</w:t>
            </w:r>
          </w:p>
        </w:tc>
        <w:tc>
          <w:tcPr>
            <w:tcW w:type="dxa" w:w="2160"/>
          </w:tcPr>
          <w:p>
            <w:r>
              <w:t>35.0</w:t>
            </w:r>
          </w:p>
        </w:tc>
      </w:tr>
      <w:tr>
        <w:tc>
          <w:tcPr>
            <w:tcW w:type="dxa" w:w="2160"/>
          </w:tcPr>
          <w:p>
            <w:r>
              <w:t>Capital expenditure</w:t>
            </w:r>
          </w:p>
        </w:tc>
        <w:tc>
          <w:tcPr>
            <w:tcW w:type="dxa" w:w="2160"/>
          </w:tcPr>
          <w:p>
            <w:r>
              <w:t>30.0</w:t>
            </w:r>
          </w:p>
        </w:tc>
        <w:tc>
          <w:tcPr>
            <w:tcW w:type="dxa" w:w="2160"/>
          </w:tcPr>
          <w:p>
            <w:r>
              <w:t>34.0</w:t>
            </w:r>
          </w:p>
        </w:tc>
        <w:tc>
          <w:tcPr>
            <w:tcW w:type="dxa" w:w="2160"/>
          </w:tcPr>
          <w:p>
            <w:r>
              <w:t>36.0</w:t>
            </w:r>
          </w:p>
        </w:tc>
      </w:tr>
      <w:tr>
        <w:tc>
          <w:tcPr>
            <w:tcW w:type="dxa" w:w="2160"/>
          </w:tcPr>
          <w:p>
            <w:r>
              <w:t>Interest expense</w:t>
            </w:r>
          </w:p>
        </w:tc>
        <w:tc>
          <w:tcPr>
            <w:tcW w:type="dxa" w:w="2160"/>
          </w:tcPr>
          <w:p>
            <w:r>
              <w:t>6.0</w:t>
            </w:r>
          </w:p>
        </w:tc>
        <w:tc>
          <w:tcPr>
            <w:tcW w:type="dxa" w:w="2160"/>
          </w:tcPr>
          <w:p>
            <w:r>
              <w:t>6.5</w:t>
            </w:r>
          </w:p>
        </w:tc>
        <w:tc>
          <w:tcPr>
            <w:tcW w:type="dxa" w:w="2160"/>
          </w:tcPr>
          <w:p>
            <w:r>
              <w:t>7.0</w:t>
            </w:r>
          </w:p>
        </w:tc>
      </w:tr>
      <w:tr>
        <w:tc>
          <w:tcPr>
            <w:tcW w:type="dxa" w:w="2160"/>
          </w:tcPr>
          <w:p>
            <w:r>
              <w:t>Debt service</w:t>
            </w:r>
          </w:p>
        </w:tc>
        <w:tc>
          <w:tcPr>
            <w:tcW w:type="dxa" w:w="2160"/>
          </w:tcPr>
          <w:p>
            <w:r>
              <w:t>17.0</w:t>
            </w:r>
          </w:p>
        </w:tc>
        <w:tc>
          <w:tcPr>
            <w:tcW w:type="dxa" w:w="2160"/>
          </w:tcPr>
          <w:p>
            <w:r>
              <w:t>18.8</w:t>
            </w:r>
          </w:p>
        </w:tc>
        <w:tc>
          <w:tcPr>
            <w:tcW w:type="dxa" w:w="2160"/>
          </w:tcPr>
          <w:p>
            <w:r>
              <w:t>20.0</w:t>
            </w:r>
          </w:p>
        </w:tc>
      </w:tr>
      <w:tr>
        <w:tc>
          <w:tcPr>
            <w:tcW w:type="dxa" w:w="2160"/>
          </w:tcPr>
          <w:p>
            <w:r>
              <w:t>Current ratio</w:t>
            </w:r>
          </w:p>
        </w:tc>
        <w:tc>
          <w:tcPr>
            <w:tcW w:type="dxa" w:w="2160"/>
          </w:tcPr>
          <w:p>
            <w:r>
              <w:t>1.2</w:t>
            </w:r>
          </w:p>
        </w:tc>
        <w:tc>
          <w:tcPr>
            <w:tcW w:type="dxa" w:w="2160"/>
          </w:tcPr>
          <w:p>
            <w:r>
              <w:t>1.2</w:t>
            </w:r>
          </w:p>
        </w:tc>
        <w:tc>
          <w:tcPr>
            <w:tcW w:type="dxa" w:w="2160"/>
          </w:tcPr>
          <w:p>
            <w:r>
              <w:t>1.3</w:t>
            </w:r>
          </w:p>
        </w:tc>
      </w:tr>
    </w:tbl>
    <w:p/>
    <w:p>
      <w:r>
        <w:t>Debt/EBITDA stands at 1.10x in 2025. Operating cash flow covers capital expenditure in every year.</w:t>
      </w:r>
    </w:p>
    <w:p>
      <w:pPr>
        <w:pStyle w:val="Heading1"/>
      </w:pPr>
      <w:r>
        <w:t>7. Facility requested</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Requested</w:t>
            </w:r>
          </w:p>
        </w:tc>
      </w:tr>
      <w:tr>
        <w:tc>
          <w:tcPr>
            <w:tcW w:type="dxa" w:w="4320"/>
          </w:tcPr>
          <w:p>
            <w:r>
              <w:t>Facility</w:t>
            </w:r>
          </w:p>
        </w:tc>
        <w:tc>
          <w:tcPr>
            <w:tcW w:type="dxa" w:w="4320"/>
          </w:tcPr>
          <w:p>
            <w:r>
              <w:t>Term finance</w:t>
            </w:r>
          </w:p>
        </w:tc>
      </w:tr>
      <w:tr>
        <w:tc>
          <w:tcPr>
            <w:tcW w:type="dxa" w:w="4320"/>
          </w:tcPr>
          <w:p>
            <w:r>
              <w:t>Structure</w:t>
            </w:r>
          </w:p>
        </w:tc>
        <w:tc>
          <w:tcPr>
            <w:tcW w:type="dxa" w:w="4320"/>
          </w:tcPr>
          <w:p>
            <w:r>
              <w:t>Ijara</w:t>
            </w:r>
          </w:p>
        </w:tc>
      </w:tr>
      <w:tr>
        <w:tc>
          <w:tcPr>
            <w:tcW w:type="dxa" w:w="4320"/>
          </w:tcPr>
          <w:p>
            <w:r>
              <w:t>Currency</w:t>
            </w:r>
          </w:p>
        </w:tc>
        <w:tc>
          <w:tcPr>
            <w:tcW w:type="dxa" w:w="4320"/>
          </w:tcPr>
          <w:p>
            <w:r>
              <w:t>SAR</w:t>
            </w:r>
          </w:p>
        </w:tc>
      </w:tr>
      <w:tr>
        <w:tc>
          <w:tcPr>
            <w:tcW w:type="dxa" w:w="4320"/>
          </w:tcPr>
          <w:p>
            <w:r>
              <w:t>Amount</w:t>
            </w:r>
          </w:p>
        </w:tc>
        <w:tc>
          <w:tcPr>
            <w:tcW w:type="dxa" w:w="4320"/>
          </w:tcPr>
          <w:p>
            <w:r>
              <w:t>SAR 70 million</w:t>
            </w:r>
          </w:p>
        </w:tc>
      </w:tr>
      <w:tr>
        <w:tc>
          <w:tcPr>
            <w:tcW w:type="dxa" w:w="4320"/>
          </w:tcPr>
          <w:p>
            <w:r>
              <w:t>Tenor</w:t>
            </w:r>
          </w:p>
        </w:tc>
        <w:tc>
          <w:tcPr>
            <w:tcW w:type="dxa" w:w="4320"/>
          </w:tcPr>
          <w:p>
            <w:r>
              <w:t>6 years</w:t>
            </w:r>
          </w:p>
        </w:tc>
      </w:tr>
      <w:tr>
        <w:tc>
          <w:tcPr>
            <w:tcW w:type="dxa" w:w="4320"/>
          </w:tcPr>
          <w:p>
            <w:r>
              <w:t>Grace</w:t>
            </w:r>
          </w:p>
        </w:tc>
        <w:tc>
          <w:tcPr>
            <w:tcW w:type="dxa" w:w="4320"/>
          </w:tcPr>
          <w:p>
            <w:r>
              <w:t>1 years</w:t>
            </w:r>
          </w:p>
        </w:tc>
      </w:tr>
      <w:tr>
        <w:tc>
          <w:tcPr>
            <w:tcW w:type="dxa" w:w="4320"/>
          </w:tcPr>
          <w:p>
            <w:r>
              <w:t>Repayment</w:t>
            </w:r>
          </w:p>
        </w:tc>
        <w:tc>
          <w:tcPr>
            <w:tcW w:type="dxa" w:w="4320"/>
          </w:tcPr>
          <w:p>
            <w:r>
              <w:t>equal</w:t>
            </w:r>
          </w:p>
        </w:tc>
      </w:tr>
      <w:tr>
        <w:tc>
          <w:tcPr>
            <w:tcW w:type="dxa" w:w="4320"/>
          </w:tcPr>
          <w:p>
            <w:r>
              <w:t>Margin</w:t>
            </w:r>
          </w:p>
        </w:tc>
        <w:tc>
          <w:tcPr>
            <w:tcW w:type="dxa" w:w="4320"/>
          </w:tcPr>
          <w:p>
            <w:r>
              <w:t>SAIBOR + 240 bps</w:t>
            </w:r>
          </w:p>
        </w:tc>
      </w:tr>
      <w:tr>
        <w:tc>
          <w:tcPr>
            <w:tcW w:type="dxa" w:w="4320"/>
          </w:tcPr>
          <w:p>
            <w:r>
              <w:t>Upfront fee</w:t>
            </w:r>
          </w:p>
        </w:tc>
        <w:tc>
          <w:tcPr>
            <w:tcW w:type="dxa" w:w="4320"/>
          </w:tcPr>
          <w:p>
            <w:r>
              <w:t>50 bps</w:t>
            </w:r>
          </w:p>
        </w:tc>
      </w:tr>
      <w:tr>
        <w:tc>
          <w:tcPr>
            <w:tcW w:type="dxa" w:w="4320"/>
          </w:tcPr>
          <w:p>
            <w:r>
              <w:t>Commitment fee</w:t>
            </w:r>
          </w:p>
        </w:tc>
        <w:tc>
          <w:tcPr>
            <w:tcW w:type="dxa" w:w="4320"/>
          </w:tcPr>
          <w:p>
            <w:r>
              <w:t>20 bps</w:t>
            </w:r>
          </w:p>
        </w:tc>
      </w:tr>
      <w:tr>
        <w:tc>
          <w:tcPr>
            <w:tcW w:type="dxa" w:w="4320"/>
          </w:tcPr>
          <w:p>
            <w:r>
              <w:t>Commission</w:t>
            </w:r>
          </w:p>
        </w:tc>
        <w:tc>
          <w:tcPr>
            <w:tcW w:type="dxa" w:w="4320"/>
          </w:tcPr>
          <w:p>
            <w:r>
              <w:t>0 bps</w:t>
            </w:r>
          </w:p>
        </w:tc>
      </w:tr>
      <w:tr>
        <w:tc>
          <w:tcPr>
            <w:tcW w:type="dxa" w:w="4320"/>
          </w:tcPr>
          <w:p>
            <w:r>
              <w:t>Cash margin</w:t>
            </w:r>
          </w:p>
        </w:tc>
        <w:tc>
          <w:tcPr>
            <w:tcW w:type="dxa" w:w="4320"/>
          </w:tcPr>
          <w:p>
            <w:r>
              <w:t>0%</w:t>
            </w:r>
          </w:p>
        </w:tc>
      </w:tr>
    </w:tbl>
    <w:p/>
    <w:p>
      <w:r>
        <w:t>Purpose: Ijara over a new cold-chain warehouse at Jazan port (asset to be identified).</w:t>
      </w:r>
    </w:p>
    <w:p>
      <w:pPr>
        <w:pStyle w:val="Heading1"/>
      </w:pPr>
      <w:r>
        <w:t>8. Security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Collateral type</w:t>
            </w:r>
          </w:p>
        </w:tc>
        <w:tc>
          <w:tcPr>
            <w:tcW w:type="dxa" w:w="4320"/>
          </w:tcPr>
          <w:p>
            <w:r>
              <w:t>None offered</w:t>
            </w:r>
          </w:p>
        </w:tc>
      </w:tr>
      <w:tr>
        <w:tc>
          <w:tcPr>
            <w:tcW w:type="dxa" w:w="4320"/>
          </w:tcPr>
          <w:p>
            <w:r>
              <w:t>Guarantee type</w:t>
            </w:r>
          </w:p>
        </w:tc>
        <w:tc>
          <w:tcPr>
            <w:tcW w:type="dxa" w:w="4320"/>
          </w:tcPr>
          <w:p>
            <w:r>
              <w:t>None offered</w:t>
            </w:r>
          </w:p>
        </w:tc>
      </w:tr>
    </w:tbl>
    <w:p/>
    <w:p>
      <w:pPr>
        <w:pStyle w:val="Heading1"/>
      </w:pPr>
      <w:r>
        <w:t>9. Covenants and conditions</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Threshold</w:t>
            </w:r>
          </w:p>
        </w:tc>
      </w:tr>
      <w:tr>
        <w:tc>
          <w:tcPr>
            <w:tcW w:type="dxa" w:w="4320"/>
          </w:tcPr>
          <w:p>
            <w:r>
              <w:t>DSCR minimum</w:t>
            </w:r>
          </w:p>
        </w:tc>
        <w:tc>
          <w:tcPr>
            <w:tcW w:type="dxa" w:w="4320"/>
          </w:tcPr>
          <w:p>
            <w:r>
              <w:t>1.25x</w:t>
            </w:r>
          </w:p>
        </w:tc>
      </w:tr>
      <w:tr>
        <w:tc>
          <w:tcPr>
            <w:tcW w:type="dxa" w:w="4320"/>
          </w:tcPr>
          <w:p>
            <w:r>
              <w:t>Debt/EBITDA maximum</w:t>
            </w:r>
          </w:p>
        </w:tc>
        <w:tc>
          <w:tcPr>
            <w:tcW w:type="dxa" w:w="4320"/>
          </w:tcPr>
          <w:p>
            <w:r>
              <w:t>3.5x</w:t>
            </w:r>
          </w:p>
        </w:tc>
      </w:tr>
    </w:tbl>
    <w:p/>
    <w:p>
      <w:r>
        <w:t>Conditions precedent: board resolution, audited statements, Shariah sign-off on the documentation where Islamic, perfection of any security before first drawdown. Reporting: quarterly management accounts, annual audited statements.</w:t>
      </w:r>
    </w:p>
    <w:p>
      <w:pPr>
        <w:pStyle w:val="Heading1"/>
      </w:pPr>
      <w:r>
        <w:t>10. Risk assessment and recommendation</w:t>
      </w:r>
    </w:p>
    <w:p>
      <w:r>
        <w:t>Strengths: contracted revenue, experienced management, conservative leverage for the sector.</w:t>
      </w:r>
    </w:p>
    <w:p>
      <w:r>
        <w:t>Weaknesses: customer concentration, working-capital intensity, exposure to public-sector payment cycles.</w:t>
      </w:r>
    </w:p>
    <w:p>
      <w:r>
        <w:t>Mitigants: the security and covenants above, quarterly monitoring, and a cash sweep on any contract award above plan.</w:t>
      </w:r>
    </w:p>
    <w:p>
      <w:r>
        <w:t>Recommendation: approve the term finance of SAR 70 million on the terms above, subject to the risk-adjusted return clearing the hurdle and every hard limit after the deal.</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