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Taif First Logistics Company</w:t>
      </w:r>
    </w:p>
    <w:p>
      <w:r>
        <w:t>Reference DD-207 · Corporate Banking · prepared by Khalid Al-Otaibi · October 2026</w:t>
      </w:r>
    </w:p>
    <w:p>
      <w:r>
        <w:t>Synthetic demo data for CreditProbe. Not client data. Amounts in SAR million unless stated.</w:t>
      </w:r>
    </w:p>
    <w:p>
      <w:pPr>
        <w:pStyle w:val="Heading1"/>
      </w:pPr>
      <w:r>
        <w:t>1. Executive summary</w:t>
      </w:r>
    </w:p>
    <w:p>
      <w:r>
        <w:t>The relationship team requests a revolving working capital of SAR 40 million over 3 years for Taif First Logistics Company, priced at SAIBOR + 200 bps with a 30 bps upfront fee, secured by receivables valued at SAR 25 million. The purpose is seasonal working capital for hajj logistics.</w:t>
      </w:r>
    </w:p>
    <w:p>
      <w:r>
        <w:t>The obligor is rated BBB on the internal scale. Revenue grew from SAR 280 million in 2023 to SAR 325 million in 2025, and EBITDA from SAR 46 million to SAR 54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Taif First Logistics Company</w:t>
            </w:r>
          </w:p>
        </w:tc>
      </w:tr>
      <w:tr>
        <w:tc>
          <w:tcPr>
            <w:tcW w:type="dxa" w:w="4320"/>
          </w:tcPr>
          <w:p>
            <w:r>
              <w:t>CR number</w:t>
            </w:r>
          </w:p>
        </w:tc>
        <w:tc>
          <w:tcPr>
            <w:tcW w:type="dxa" w:w="4320"/>
          </w:tcPr>
          <w:p>
            <w:r>
              <w:t>4032217765</w:t>
            </w:r>
          </w:p>
        </w:tc>
      </w:tr>
      <w:tr>
        <w:tc>
          <w:tcPr>
            <w:tcW w:type="dxa" w:w="4320"/>
          </w:tcPr>
          <w:p>
            <w:r>
              <w:t>Group</w:t>
            </w:r>
          </w:p>
        </w:tc>
        <w:tc>
          <w:tcPr>
            <w:tcW w:type="dxa" w:w="4320"/>
          </w:tcPr>
          <w:p>
            <w:r>
              <w:t>Taif First Logistics Group (CG9317-018)</w:t>
            </w:r>
          </w:p>
        </w:tc>
      </w:tr>
      <w:tr>
        <w:tc>
          <w:tcPr>
            <w:tcW w:type="dxa" w:w="4320"/>
          </w:tcPr>
          <w:p>
            <w:r>
              <w:t>Sector</w:t>
            </w:r>
          </w:p>
        </w:tc>
        <w:tc>
          <w:tcPr>
            <w:tcW w:type="dxa" w:w="4320"/>
          </w:tcPr>
          <w:p>
            <w:r>
              <w:t>Transport and Logistics</w:t>
            </w:r>
          </w:p>
        </w:tc>
      </w:tr>
      <w:tr>
        <w:tc>
          <w:tcPr>
            <w:tcW w:type="dxa" w:w="4320"/>
          </w:tcPr>
          <w:p>
            <w:r>
              <w:t>Region</w:t>
            </w:r>
          </w:p>
        </w:tc>
        <w:tc>
          <w:tcPr>
            <w:tcW w:type="dxa" w:w="4320"/>
          </w:tcPr>
          <w:p>
            <w:r>
              <w:t>Makkah</w:t>
            </w:r>
          </w:p>
        </w:tc>
      </w:tr>
      <w:tr>
        <w:tc>
          <w:tcPr>
            <w:tcW w:type="dxa" w:w="4320"/>
          </w:tcPr>
          <w:p>
            <w:r>
              <w:t>Internal rating</w:t>
            </w:r>
          </w:p>
        </w:tc>
        <w:tc>
          <w:tcPr>
            <w:tcW w:type="dxa" w:w="4320"/>
          </w:tcPr>
          <w:p>
            <w:r>
              <w:t>BBB</w:t>
            </w:r>
          </w:p>
        </w:tc>
      </w:tr>
      <w:tr>
        <w:tc>
          <w:tcPr>
            <w:tcW w:type="dxa" w:w="4320"/>
          </w:tcPr>
          <w:p>
            <w:r>
              <w:t>External rating</w:t>
            </w:r>
          </w:p>
        </w:tc>
        <w:tc>
          <w:tcPr>
            <w:tcW w:type="dxa" w:w="4320"/>
          </w:tcPr>
          <w:p>
            <w:r>
              <w:t>Unrated</w:t>
            </w:r>
          </w:p>
        </w:tc>
      </w:tr>
      <w:tr>
        <w:tc>
          <w:tcPr>
            <w:tcW w:type="dxa" w:w="4320"/>
          </w:tcPr>
          <w:p>
            <w:r>
              <w:t>SIMAH</w:t>
            </w:r>
          </w:p>
        </w:tc>
        <w:tc>
          <w:tcPr>
            <w:tcW w:type="dxa" w:w="4320"/>
          </w:tcPr>
          <w:p>
            <w:r>
              <w:t>clear</w:t>
            </w:r>
          </w:p>
        </w:tc>
      </w:tr>
      <w:tr>
        <w:tc>
          <w:tcPr>
            <w:tcW w:type="dxa" w:w="4320"/>
          </w:tcPr>
          <w:p>
            <w:r>
              <w:t>Relationship manager</w:t>
            </w:r>
          </w:p>
        </w:tc>
        <w:tc>
          <w:tcPr>
            <w:tcW w:type="dxa" w:w="4320"/>
          </w:tcPr>
          <w:p>
            <w:r>
              <w:t>Khalid Al-Otaibi</w:t>
            </w:r>
          </w:p>
        </w:tc>
      </w:tr>
    </w:tbl>
    <w:p/>
    <w:p>
      <w:pPr>
        <w:pStyle w:val="Heading1"/>
      </w:pPr>
      <w:r>
        <w:t>2. Background</w:t>
      </w:r>
    </w:p>
    <w:p>
      <w:r>
        <w:t>Taif First Logistics Company was incorporated under commercial registration 4032217765 and operates from Makkah. It is active in transport and logistics,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a member of Taif First Logistics Group (CG9317-018), an existing connected group in the bank's corporate book. Exposure to the group is aggregated for the connected-group limit (CP-1.2) and the large-exposure limit.</w:t>
      </w:r>
    </w:p>
    <w:p>
      <w:r>
        <w:t>The holding company owns 100% of the obligor; sister companies bank with us on working-capital and trade lines. Connected parties are identified under the bank's related-party policy.</w:t>
      </w:r>
    </w:p>
    <w:tbl>
      <w:tblPr>
        <w:tblStyle w:val="LightGrid-Accent1"/>
        <w:tblW w:type="auto" w:w="0"/>
        <w:tblLook w:firstColumn="1" w:firstRow="1" w:lastColumn="0" w:lastRow="0" w:noHBand="0" w:noVBand="1" w:val="04A0"/>
      </w:tblPr>
      <w:tblGrid>
        <w:gridCol w:w="4320"/>
        <w:gridCol w:w="4320"/>
      </w:tblGrid>
      <w:tr>
        <w:tc>
          <w:tcPr>
            <w:tcW w:type="dxa" w:w="4320"/>
          </w:tcPr>
          <w:p>
            <w:r>
              <w:t>Ownership</w:t>
            </w:r>
          </w:p>
        </w:tc>
        <w:tc>
          <w:tcPr>
            <w:tcW w:type="dxa" w:w="4320"/>
          </w:tcPr>
          <w:p>
            <w:r>
              <w:t>Share</w:t>
            </w:r>
          </w:p>
        </w:tc>
      </w:tr>
      <w:tr>
        <w:tc>
          <w:tcPr>
            <w:tcW w:type="dxa" w:w="4320"/>
          </w:tcPr>
          <w:p>
            <w:r>
              <w:t>Holding company</w:t>
            </w:r>
          </w:p>
        </w:tc>
        <w:tc>
          <w:tcPr>
            <w:tcW w:type="dxa" w:w="4320"/>
          </w:tcPr>
          <w:p>
            <w:r>
              <w:t>100%</w:t>
            </w:r>
          </w:p>
        </w:tc>
      </w:tr>
      <w:tr>
        <w:tc>
          <w:tcPr>
            <w:tcW w:type="dxa" w:w="4320"/>
          </w:tcPr>
          <w:p>
            <w:r>
              <w:t>Ultimate beneficial owners (family)</w:t>
            </w:r>
          </w:p>
        </w:tc>
        <w:tc>
          <w:tcPr>
            <w:tcW w:type="dxa" w:w="4320"/>
          </w:tcPr>
          <w:p>
            <w:r>
              <w:t>100% of the holding</w:t>
            </w:r>
          </w:p>
        </w:tc>
      </w:tr>
    </w:tbl>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transport and logistics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280.0</w:t>
            </w:r>
          </w:p>
        </w:tc>
        <w:tc>
          <w:tcPr>
            <w:tcW w:type="dxa" w:w="2160"/>
          </w:tcPr>
          <w:p>
            <w:r>
              <w:t>301.0</w:t>
            </w:r>
          </w:p>
        </w:tc>
        <w:tc>
          <w:tcPr>
            <w:tcW w:type="dxa" w:w="2160"/>
          </w:tcPr>
          <w:p>
            <w:r>
              <w:t>325.0</w:t>
            </w:r>
          </w:p>
        </w:tc>
      </w:tr>
      <w:tr>
        <w:tc>
          <w:tcPr>
            <w:tcW w:type="dxa" w:w="2160"/>
          </w:tcPr>
          <w:p>
            <w:r>
              <w:t>EBITDA</w:t>
            </w:r>
          </w:p>
        </w:tc>
        <w:tc>
          <w:tcPr>
            <w:tcW w:type="dxa" w:w="2160"/>
          </w:tcPr>
          <w:p>
            <w:r>
              <w:t>46.0</w:t>
            </w:r>
          </w:p>
        </w:tc>
        <w:tc>
          <w:tcPr>
            <w:tcW w:type="dxa" w:w="2160"/>
          </w:tcPr>
          <w:p>
            <w:r>
              <w:t>50.0</w:t>
            </w:r>
          </w:p>
        </w:tc>
        <w:tc>
          <w:tcPr>
            <w:tcW w:type="dxa" w:w="2160"/>
          </w:tcPr>
          <w:p>
            <w:r>
              <w:t>54.0</w:t>
            </w:r>
          </w:p>
        </w:tc>
      </w:tr>
      <w:tr>
        <w:tc>
          <w:tcPr>
            <w:tcW w:type="dxa" w:w="2160"/>
          </w:tcPr>
          <w:p>
            <w:r>
              <w:t>Net income</w:t>
            </w:r>
          </w:p>
        </w:tc>
        <w:tc>
          <w:tcPr>
            <w:tcW w:type="dxa" w:w="2160"/>
          </w:tcPr>
          <w:p>
            <w:r>
              <w:t>17.0</w:t>
            </w:r>
          </w:p>
        </w:tc>
        <w:tc>
          <w:tcPr>
            <w:tcW w:type="dxa" w:w="2160"/>
          </w:tcPr>
          <w:p>
            <w:r>
              <w:t>19.0</w:t>
            </w:r>
          </w:p>
        </w:tc>
        <w:tc>
          <w:tcPr>
            <w:tcW w:type="dxa" w:w="2160"/>
          </w:tcPr>
          <w:p>
            <w:r>
              <w:t>21.0</w:t>
            </w:r>
          </w:p>
        </w:tc>
      </w:tr>
      <w:tr>
        <w:tc>
          <w:tcPr>
            <w:tcW w:type="dxa" w:w="2160"/>
          </w:tcPr>
          <w:p>
            <w:r>
              <w:t>Total debt</w:t>
            </w:r>
          </w:p>
        </w:tc>
        <w:tc>
          <w:tcPr>
            <w:tcW w:type="dxa" w:w="2160"/>
          </w:tcPr>
          <w:p>
            <w:r>
              <w:t>110.0</w:t>
            </w:r>
          </w:p>
        </w:tc>
        <w:tc>
          <w:tcPr>
            <w:tcW w:type="dxa" w:w="2160"/>
          </w:tcPr>
          <w:p>
            <w:r>
              <w:t>115.0</w:t>
            </w:r>
          </w:p>
        </w:tc>
        <w:tc>
          <w:tcPr>
            <w:tcW w:type="dxa" w:w="2160"/>
          </w:tcPr>
          <w:p>
            <w:r>
              <w:t>118.0</w:t>
            </w:r>
          </w:p>
        </w:tc>
      </w:tr>
      <w:tr>
        <w:tc>
          <w:tcPr>
            <w:tcW w:type="dxa" w:w="2160"/>
          </w:tcPr>
          <w:p>
            <w:r>
              <w:t>Cash and equivalents</w:t>
            </w:r>
          </w:p>
        </w:tc>
        <w:tc>
          <w:tcPr>
            <w:tcW w:type="dxa" w:w="2160"/>
          </w:tcPr>
          <w:p>
            <w:r>
              <w:t>19.0</w:t>
            </w:r>
          </w:p>
        </w:tc>
        <w:tc>
          <w:tcPr>
            <w:tcW w:type="dxa" w:w="2160"/>
          </w:tcPr>
          <w:p>
            <w:r>
              <w:t>22.0</w:t>
            </w:r>
          </w:p>
        </w:tc>
        <w:tc>
          <w:tcPr>
            <w:tcW w:type="dxa" w:w="2160"/>
          </w:tcPr>
          <w:p>
            <w:r>
              <w:t>25.0</w:t>
            </w:r>
          </w:p>
        </w:tc>
      </w:tr>
      <w:tr>
        <w:tc>
          <w:tcPr>
            <w:tcW w:type="dxa" w:w="2160"/>
          </w:tcPr>
          <w:p>
            <w:r>
              <w:t>Net worth (equity)</w:t>
            </w:r>
          </w:p>
        </w:tc>
        <w:tc>
          <w:tcPr>
            <w:tcW w:type="dxa" w:w="2160"/>
          </w:tcPr>
          <w:p>
            <w:r>
              <w:t>190.0</w:t>
            </w:r>
          </w:p>
        </w:tc>
        <w:tc>
          <w:tcPr>
            <w:tcW w:type="dxa" w:w="2160"/>
          </w:tcPr>
          <w:p>
            <w:r>
              <w:t>205.0</w:t>
            </w:r>
          </w:p>
        </w:tc>
        <w:tc>
          <w:tcPr>
            <w:tcW w:type="dxa" w:w="2160"/>
          </w:tcPr>
          <w:p>
            <w:r>
              <w:t>220.0</w:t>
            </w:r>
          </w:p>
        </w:tc>
      </w:tr>
      <w:tr>
        <w:tc>
          <w:tcPr>
            <w:tcW w:type="dxa" w:w="2160"/>
          </w:tcPr>
          <w:p>
            <w:r>
              <w:t>Operating cash flow</w:t>
            </w:r>
          </w:p>
        </w:tc>
        <w:tc>
          <w:tcPr>
            <w:tcW w:type="dxa" w:w="2160"/>
          </w:tcPr>
          <w:p>
            <w:r>
              <w:t>40.0</w:t>
            </w:r>
          </w:p>
        </w:tc>
        <w:tc>
          <w:tcPr>
            <w:tcW w:type="dxa" w:w="2160"/>
          </w:tcPr>
          <w:p>
            <w:r>
              <w:t>44.0</w:t>
            </w:r>
          </w:p>
        </w:tc>
        <w:tc>
          <w:tcPr>
            <w:tcW w:type="dxa" w:w="2160"/>
          </w:tcPr>
          <w:p>
            <w:r>
              <w:t>47.0</w:t>
            </w:r>
          </w:p>
        </w:tc>
      </w:tr>
      <w:tr>
        <w:tc>
          <w:tcPr>
            <w:tcW w:type="dxa" w:w="2160"/>
          </w:tcPr>
          <w:p>
            <w:r>
              <w:t>Capital expenditure</w:t>
            </w:r>
          </w:p>
        </w:tc>
        <w:tc>
          <w:tcPr>
            <w:tcW w:type="dxa" w:w="2160"/>
          </w:tcPr>
          <w:p>
            <w:r>
              <w:t>14.0</w:t>
            </w:r>
          </w:p>
        </w:tc>
        <w:tc>
          <w:tcPr>
            <w:tcW w:type="dxa" w:w="2160"/>
          </w:tcPr>
          <w:p>
            <w:r>
              <w:t>15.0</w:t>
            </w:r>
          </w:p>
        </w:tc>
        <w:tc>
          <w:tcPr>
            <w:tcW w:type="dxa" w:w="2160"/>
          </w:tcPr>
          <w:p>
            <w:r>
              <w:t>16.0</w:t>
            </w:r>
          </w:p>
        </w:tc>
      </w:tr>
      <w:tr>
        <w:tc>
          <w:tcPr>
            <w:tcW w:type="dxa" w:w="2160"/>
          </w:tcPr>
          <w:p>
            <w:r>
              <w:t>Interest expense</w:t>
            </w:r>
          </w:p>
        </w:tc>
        <w:tc>
          <w:tcPr>
            <w:tcW w:type="dxa" w:w="2160"/>
          </w:tcPr>
          <w:p>
            <w:r>
              <w:t>7.0</w:t>
            </w:r>
          </w:p>
        </w:tc>
        <w:tc>
          <w:tcPr>
            <w:tcW w:type="dxa" w:w="2160"/>
          </w:tcPr>
          <w:p>
            <w:r>
              <w:t>7.5</w:t>
            </w:r>
          </w:p>
        </w:tc>
        <w:tc>
          <w:tcPr>
            <w:tcW w:type="dxa" w:w="2160"/>
          </w:tcPr>
          <w:p>
            <w:r>
              <w:t>8.0</w:t>
            </w:r>
          </w:p>
        </w:tc>
      </w:tr>
      <w:tr>
        <w:tc>
          <w:tcPr>
            <w:tcW w:type="dxa" w:w="2160"/>
          </w:tcPr>
          <w:p>
            <w:r>
              <w:t>Debt service</w:t>
            </w:r>
          </w:p>
        </w:tc>
        <w:tc>
          <w:tcPr>
            <w:tcW w:type="dxa" w:w="2160"/>
          </w:tcPr>
          <w:p>
            <w:r>
              <w:t>25.3</w:t>
            </w:r>
          </w:p>
        </w:tc>
        <w:tc>
          <w:tcPr>
            <w:tcW w:type="dxa" w:w="2160"/>
          </w:tcPr>
          <w:p>
            <w:r>
              <w:t>26.7</w:t>
            </w:r>
          </w:p>
        </w:tc>
        <w:tc>
          <w:tcPr>
            <w:tcW w:type="dxa" w:w="2160"/>
          </w:tcPr>
          <w:p>
            <w:r>
              <w:t>27.7</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2.19x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Revolving working capital</w:t>
            </w:r>
          </w:p>
        </w:tc>
      </w:tr>
      <w:tr>
        <w:tc>
          <w:tcPr>
            <w:tcW w:type="dxa" w:w="4320"/>
          </w:tcPr>
          <w:p>
            <w:r>
              <w:t>Structure</w:t>
            </w:r>
          </w:p>
        </w:tc>
        <w:tc>
          <w:tcPr>
            <w:tcW w:type="dxa" w:w="4320"/>
          </w:tcPr>
          <w:p>
            <w:r>
              <w:t>Murabaha</w:t>
            </w:r>
          </w:p>
        </w:tc>
      </w:tr>
      <w:tr>
        <w:tc>
          <w:tcPr>
            <w:tcW w:type="dxa" w:w="4320"/>
          </w:tcPr>
          <w:p>
            <w:r>
              <w:t>Currency</w:t>
            </w:r>
          </w:p>
        </w:tc>
        <w:tc>
          <w:tcPr>
            <w:tcW w:type="dxa" w:w="4320"/>
          </w:tcPr>
          <w:p>
            <w:r>
              <w:t>SAR</w:t>
            </w:r>
          </w:p>
        </w:tc>
      </w:tr>
      <w:tr>
        <w:tc>
          <w:tcPr>
            <w:tcW w:type="dxa" w:w="4320"/>
          </w:tcPr>
          <w:p>
            <w:r>
              <w:t>Amount</w:t>
            </w:r>
          </w:p>
        </w:tc>
        <w:tc>
          <w:tcPr>
            <w:tcW w:type="dxa" w:w="4320"/>
          </w:tcPr>
          <w:p>
            <w:r>
              <w:t>SAR 40 million</w:t>
            </w:r>
          </w:p>
        </w:tc>
      </w:tr>
      <w:tr>
        <w:tc>
          <w:tcPr>
            <w:tcW w:type="dxa" w:w="4320"/>
          </w:tcPr>
          <w:p>
            <w:r>
              <w:t>Tenor</w:t>
            </w:r>
          </w:p>
        </w:tc>
        <w:tc>
          <w:tcPr>
            <w:tcW w:type="dxa" w:w="4320"/>
          </w:tcPr>
          <w:p>
            <w:r>
              <w:t>3 years</w:t>
            </w:r>
          </w:p>
        </w:tc>
      </w:tr>
      <w:tr>
        <w:tc>
          <w:tcPr>
            <w:tcW w:type="dxa" w:w="4320"/>
          </w:tcPr>
          <w:p>
            <w:r>
              <w:t>Grace</w:t>
            </w:r>
          </w:p>
        </w:tc>
        <w:tc>
          <w:tcPr>
            <w:tcW w:type="dxa" w:w="4320"/>
          </w:tcPr>
          <w:p>
            <w:r>
              <w:t>0 years</w:t>
            </w:r>
          </w:p>
        </w:tc>
      </w:tr>
      <w:tr>
        <w:tc>
          <w:tcPr>
            <w:tcW w:type="dxa" w:w="4320"/>
          </w:tcPr>
          <w:p>
            <w:r>
              <w:t>Repayment</w:t>
            </w:r>
          </w:p>
        </w:tc>
        <w:tc>
          <w:tcPr>
            <w:tcW w:type="dxa" w:w="4320"/>
          </w:tcPr>
          <w:p>
            <w:r>
              <w:t>bullet</w:t>
            </w:r>
          </w:p>
        </w:tc>
      </w:tr>
      <w:tr>
        <w:tc>
          <w:tcPr>
            <w:tcW w:type="dxa" w:w="4320"/>
          </w:tcPr>
          <w:p>
            <w:r>
              <w:t>Margin</w:t>
            </w:r>
          </w:p>
        </w:tc>
        <w:tc>
          <w:tcPr>
            <w:tcW w:type="dxa" w:w="4320"/>
          </w:tcPr>
          <w:p>
            <w:r>
              <w:t>SAIBOR + 200 bps</w:t>
            </w:r>
          </w:p>
        </w:tc>
      </w:tr>
      <w:tr>
        <w:tc>
          <w:tcPr>
            <w:tcW w:type="dxa" w:w="4320"/>
          </w:tcPr>
          <w:p>
            <w:r>
              <w:t>Upfront fee</w:t>
            </w:r>
          </w:p>
        </w:tc>
        <w:tc>
          <w:tcPr>
            <w:tcW w:type="dxa" w:w="4320"/>
          </w:tcPr>
          <w:p>
            <w:r>
              <w:t>30 bps</w:t>
            </w:r>
          </w:p>
        </w:tc>
      </w:tr>
      <w:tr>
        <w:tc>
          <w:tcPr>
            <w:tcW w:type="dxa" w:w="4320"/>
          </w:tcPr>
          <w:p>
            <w:r>
              <w:t>Commitment fee</w:t>
            </w:r>
          </w:p>
        </w:tc>
        <w:tc>
          <w:tcPr>
            <w:tcW w:type="dxa" w:w="4320"/>
          </w:tcPr>
          <w:p>
            <w:r>
              <w:t>30 bps</w:t>
            </w:r>
          </w:p>
        </w:tc>
      </w:tr>
      <w:tr>
        <w:tc>
          <w:tcPr>
            <w:tcW w:type="dxa" w:w="4320"/>
          </w:tcPr>
          <w:p>
            <w:r>
              <w:t>Commission</w:t>
            </w:r>
          </w:p>
        </w:tc>
        <w:tc>
          <w:tcPr>
            <w:tcW w:type="dxa" w:w="4320"/>
          </w:tcPr>
          <w:p>
            <w:r>
              <w:t>0 bps</w:t>
            </w:r>
          </w:p>
        </w:tc>
      </w:tr>
      <w:tr>
        <w:tc>
          <w:tcPr>
            <w:tcW w:type="dxa" w:w="4320"/>
          </w:tcPr>
          <w:p>
            <w:r>
              <w:t>Cash margin</w:t>
            </w:r>
          </w:p>
        </w:tc>
        <w:tc>
          <w:tcPr>
            <w:tcW w:type="dxa" w:w="4320"/>
          </w:tcPr>
          <w:p>
            <w:r>
              <w:t>0%</w:t>
            </w:r>
          </w:p>
        </w:tc>
      </w:tr>
    </w:tbl>
    <w:p/>
    <w:p>
      <w:r>
        <w:t>Purpose: Seasonal working capital for Hajj logistics.</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receivables</w:t>
            </w:r>
          </w:p>
        </w:tc>
      </w:tr>
      <w:tr>
        <w:tc>
          <w:tcPr>
            <w:tcW w:type="dxa" w:w="4320"/>
          </w:tcPr>
          <w:p>
            <w:r>
              <w:t>Collateral value</w:t>
            </w:r>
          </w:p>
        </w:tc>
        <w:tc>
          <w:tcPr>
            <w:tcW w:type="dxa" w:w="4320"/>
          </w:tcPr>
          <w:p>
            <w:r>
              <w:t>SAR 25 million</w:t>
            </w:r>
          </w:p>
        </w:tc>
      </w:tr>
      <w:tr>
        <w:tc>
          <w:tcPr>
            <w:tcW w:type="dxa" w:w="4320"/>
          </w:tcPr>
          <w:p>
            <w:r>
              <w:t>Valuation date</w:t>
            </w:r>
          </w:p>
        </w:tc>
        <w:tc>
          <w:tcPr>
            <w:tcW w:type="dxa" w:w="4320"/>
          </w:tcPr>
          <w:p>
            <w:r>
              <w:t>2026-06-30</w:t>
            </w:r>
          </w:p>
        </w:tc>
      </w:tr>
      <w:tr>
        <w:tc>
          <w:tcPr>
            <w:tcW w:type="dxa" w:w="4320"/>
          </w:tcPr>
          <w:p>
            <w:r>
              <w:t>LTV</w:t>
            </w:r>
          </w:p>
        </w:tc>
        <w:tc>
          <w:tcPr>
            <w:tcW w:type="dxa" w:w="4320"/>
          </w:tcPr>
          <w:p>
            <w:r>
              <w:t>160%</w:t>
            </w:r>
          </w:p>
        </w:tc>
      </w:tr>
      <w:tr>
        <w:tc>
          <w:tcPr>
            <w:tcW w:type="dxa" w:w="4320"/>
          </w:tcPr>
          <w:p>
            <w:r>
              <w:t>Guarantee type</w:t>
            </w:r>
          </w:p>
        </w:tc>
        <w:tc>
          <w:tcPr>
            <w:tcW w:type="dxa" w:w="4320"/>
          </w:tcPr>
          <w:p>
            <w:r>
              <w:t>None offered</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1.3x</w:t>
            </w:r>
          </w:p>
        </w:tc>
      </w:tr>
      <w:tr>
        <w:tc>
          <w:tcPr>
            <w:tcW w:type="dxa" w:w="4320"/>
          </w:tcPr>
          <w:p>
            <w:r>
              <w:t>Debt/EBITDA maximum</w:t>
            </w:r>
          </w:p>
        </w:tc>
        <w:tc>
          <w:tcPr>
            <w:tcW w:type="dxa" w:w="4320"/>
          </w:tcPr>
          <w:p>
            <w:r>
              <w:t>3.0x</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revolving working capital of SAR 40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