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Qassim Specialist Healthcare Company</w:t>
      </w:r>
    </w:p>
    <w:p>
      <w:r>
        <w:t>Reference DD-208 · Corporate Banking · prepared by Sara Al-Dosari · October 2026</w:t>
      </w:r>
    </w:p>
    <w:p>
      <w:r>
        <w:t>Synthetic demo data for CreditProbe. Not client data. Amounts in SAR million unless stated.</w:t>
      </w:r>
    </w:p>
    <w:p>
      <w:pPr>
        <w:pStyle w:val="Heading1"/>
      </w:pPr>
      <w:r>
        <w:t>1. Executive summary</w:t>
      </w:r>
    </w:p>
    <w:p>
      <w:r>
        <w:t>The relationship team requests a term finance of SAR 50 million over 5 years for Qassim Specialist Healthcare Company, priced at SAIBOR + 250 bps with a 50 bps upfront fee, offered on an unsecured basis, with a kafalah guarantee from Kafalah SME guarantee programme covering 80%. The purpose is new 80-bed specialist wing.</w:t>
      </w:r>
    </w:p>
    <w:p>
      <w:r>
        <w:t>The obligor is rated BB- on the internal scale. Revenue grew from SAR 140 million in 2023 to SAR 176 million in 2025, and EBITDA from SAR 42 million to SAR 54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Qassim Specialist Healthcare Company</w:t>
            </w:r>
          </w:p>
        </w:tc>
      </w:tr>
      <w:tr>
        <w:tc>
          <w:tcPr>
            <w:tcW w:type="dxa" w:w="4320"/>
          </w:tcPr>
          <w:p>
            <w:r>
              <w:t>CR number</w:t>
            </w:r>
          </w:p>
        </w:tc>
        <w:tc>
          <w:tcPr>
            <w:tcW w:type="dxa" w:w="4320"/>
          </w:tcPr>
          <w:p>
            <w:r>
              <w:t>1131055420</w:t>
            </w:r>
          </w:p>
        </w:tc>
      </w:tr>
      <w:tr>
        <w:tc>
          <w:tcPr>
            <w:tcW w:type="dxa" w:w="4320"/>
          </w:tcPr>
          <w:p>
            <w:r>
              <w:t>Group</w:t>
            </w:r>
          </w:p>
        </w:tc>
        <w:tc>
          <w:tcPr>
            <w:tcW w:type="dxa" w:w="4320"/>
          </w:tcPr>
          <w:p>
            <w:r>
              <w:t>None (new to bank)</w:t>
            </w:r>
          </w:p>
        </w:tc>
      </w:tr>
      <w:tr>
        <w:tc>
          <w:tcPr>
            <w:tcW w:type="dxa" w:w="4320"/>
          </w:tcPr>
          <w:p>
            <w:r>
              <w:t>Sector</w:t>
            </w:r>
          </w:p>
        </w:tc>
        <w:tc>
          <w:tcPr>
            <w:tcW w:type="dxa" w:w="4320"/>
          </w:tcPr>
          <w:p>
            <w:r>
              <w:t>Healthcare</w:t>
            </w:r>
          </w:p>
        </w:tc>
      </w:tr>
      <w:tr>
        <w:tc>
          <w:tcPr>
            <w:tcW w:type="dxa" w:w="4320"/>
          </w:tcPr>
          <w:p>
            <w:r>
              <w:t>Region</w:t>
            </w:r>
          </w:p>
        </w:tc>
        <w:tc>
          <w:tcPr>
            <w:tcW w:type="dxa" w:w="4320"/>
          </w:tcPr>
          <w:p>
            <w:r>
              <w:t>Qassim</w:t>
            </w:r>
          </w:p>
        </w:tc>
      </w:tr>
      <w:tr>
        <w:tc>
          <w:tcPr>
            <w:tcW w:type="dxa" w:w="4320"/>
          </w:tcPr>
          <w:p>
            <w:r>
              <w:t>Internal rating</w:t>
            </w:r>
          </w:p>
        </w:tc>
        <w:tc>
          <w:tcPr>
            <w:tcW w:type="dxa" w:w="4320"/>
          </w:tcPr>
          <w:p>
            <w:r>
              <w:t>BB-</w:t>
            </w:r>
          </w:p>
        </w:tc>
      </w:tr>
      <w:tr>
        <w:tc>
          <w:tcPr>
            <w:tcW w:type="dxa" w:w="4320"/>
          </w:tcPr>
          <w:p>
            <w:r>
              <w:t>External rating</w:t>
            </w:r>
          </w:p>
        </w:tc>
        <w:tc>
          <w:tcPr>
            <w:tcW w:type="dxa" w:w="4320"/>
          </w:tcPr>
          <w:p>
            <w:r>
              <w:t>Unrated</w:t>
            </w:r>
          </w:p>
        </w:tc>
      </w:tr>
      <w:tr>
        <w:tc>
          <w:tcPr>
            <w:tcW w:type="dxa" w:w="4320"/>
          </w:tcPr>
          <w:p>
            <w:r>
              <w:t>SIMAH</w:t>
            </w:r>
          </w:p>
        </w:tc>
        <w:tc>
          <w:tcPr>
            <w:tcW w:type="dxa" w:w="4320"/>
          </w:tcPr>
          <w:p>
            <w:r>
              <w:t>clear</w:t>
            </w:r>
          </w:p>
        </w:tc>
      </w:tr>
      <w:tr>
        <w:tc>
          <w:tcPr>
            <w:tcW w:type="dxa" w:w="4320"/>
          </w:tcPr>
          <w:p>
            <w:r>
              <w:t>Relationship manager</w:t>
            </w:r>
          </w:p>
        </w:tc>
        <w:tc>
          <w:tcPr>
            <w:tcW w:type="dxa" w:w="4320"/>
          </w:tcPr>
          <w:p>
            <w:r>
              <w:t>Sara Al-Dosari</w:t>
            </w:r>
          </w:p>
        </w:tc>
      </w:tr>
    </w:tbl>
    <w:p/>
    <w:p>
      <w:pPr>
        <w:pStyle w:val="Heading1"/>
      </w:pPr>
      <w:r>
        <w:t>2. Background</w:t>
      </w:r>
    </w:p>
    <w:p>
      <w:r>
        <w:t>Qassim Specialist Healthcare Company was incorporated under commercial registration 1131055420 and operates from Qassim. It is active in healthcare,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new to the bank and is not part of a group in the corporate book. Ownership is held by the founding family (70%) and a regional private-equity fund (30%). No connected parties hold facilities with the bank.</w:t>
      </w:r>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healthcare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140.0</w:t>
            </w:r>
          </w:p>
        </w:tc>
        <w:tc>
          <w:tcPr>
            <w:tcW w:type="dxa" w:w="2160"/>
          </w:tcPr>
          <w:p>
            <w:r>
              <w:t>158.0</w:t>
            </w:r>
          </w:p>
        </w:tc>
        <w:tc>
          <w:tcPr>
            <w:tcW w:type="dxa" w:w="2160"/>
          </w:tcPr>
          <w:p>
            <w:r>
              <w:t>176.0</w:t>
            </w:r>
          </w:p>
        </w:tc>
      </w:tr>
      <w:tr>
        <w:tc>
          <w:tcPr>
            <w:tcW w:type="dxa" w:w="2160"/>
          </w:tcPr>
          <w:p>
            <w:r>
              <w:t>EBITDA</w:t>
            </w:r>
          </w:p>
        </w:tc>
        <w:tc>
          <w:tcPr>
            <w:tcW w:type="dxa" w:w="2160"/>
          </w:tcPr>
          <w:p>
            <w:r>
              <w:t>42.0</w:t>
            </w:r>
          </w:p>
        </w:tc>
        <w:tc>
          <w:tcPr>
            <w:tcW w:type="dxa" w:w="2160"/>
          </w:tcPr>
          <w:p>
            <w:r>
              <w:t>48.0</w:t>
            </w:r>
          </w:p>
        </w:tc>
        <w:tc>
          <w:tcPr>
            <w:tcW w:type="dxa" w:w="2160"/>
          </w:tcPr>
          <w:p>
            <w:r>
              <w:t>54.0</w:t>
            </w:r>
          </w:p>
        </w:tc>
      </w:tr>
      <w:tr>
        <w:tc>
          <w:tcPr>
            <w:tcW w:type="dxa" w:w="2160"/>
          </w:tcPr>
          <w:p>
            <w:r>
              <w:t>Net income</w:t>
            </w:r>
          </w:p>
        </w:tc>
        <w:tc>
          <w:tcPr>
            <w:tcW w:type="dxa" w:w="2160"/>
          </w:tcPr>
          <w:p>
            <w:r>
              <w:t>8.0</w:t>
            </w:r>
          </w:p>
        </w:tc>
        <w:tc>
          <w:tcPr>
            <w:tcW w:type="dxa" w:w="2160"/>
          </w:tcPr>
          <w:p>
            <w:r>
              <w:t>10.0</w:t>
            </w:r>
          </w:p>
        </w:tc>
        <w:tc>
          <w:tcPr>
            <w:tcW w:type="dxa" w:w="2160"/>
          </w:tcPr>
          <w:p>
            <w:r>
              <w:t>12.0</w:t>
            </w:r>
          </w:p>
        </w:tc>
      </w:tr>
      <w:tr>
        <w:tc>
          <w:tcPr>
            <w:tcW w:type="dxa" w:w="2160"/>
          </w:tcPr>
          <w:p>
            <w:r>
              <w:t>Total debt</w:t>
            </w:r>
          </w:p>
        </w:tc>
        <w:tc>
          <w:tcPr>
            <w:tcW w:type="dxa" w:w="2160"/>
          </w:tcPr>
          <w:p>
            <w:r>
              <w:t>52.0</w:t>
            </w:r>
          </w:p>
        </w:tc>
        <w:tc>
          <w:tcPr>
            <w:tcW w:type="dxa" w:w="2160"/>
          </w:tcPr>
          <w:p>
            <w:r>
              <w:t>56.0</w:t>
            </w:r>
          </w:p>
        </w:tc>
        <w:tc>
          <w:tcPr>
            <w:tcW w:type="dxa" w:w="2160"/>
          </w:tcPr>
          <w:p>
            <w:r>
              <w:t>58.0</w:t>
            </w:r>
          </w:p>
        </w:tc>
      </w:tr>
      <w:tr>
        <w:tc>
          <w:tcPr>
            <w:tcW w:type="dxa" w:w="2160"/>
          </w:tcPr>
          <w:p>
            <w:r>
              <w:t>Cash and equivalents</w:t>
            </w:r>
          </w:p>
        </w:tc>
        <w:tc>
          <w:tcPr>
            <w:tcW w:type="dxa" w:w="2160"/>
          </w:tcPr>
          <w:p>
            <w:r>
              <w:t>12.0</w:t>
            </w:r>
          </w:p>
        </w:tc>
        <w:tc>
          <w:tcPr>
            <w:tcW w:type="dxa" w:w="2160"/>
          </w:tcPr>
          <w:p>
            <w:r>
              <w:t>14.0</w:t>
            </w:r>
          </w:p>
        </w:tc>
        <w:tc>
          <w:tcPr>
            <w:tcW w:type="dxa" w:w="2160"/>
          </w:tcPr>
          <w:p>
            <w:r>
              <w:t>16.0</w:t>
            </w:r>
          </w:p>
        </w:tc>
      </w:tr>
      <w:tr>
        <w:tc>
          <w:tcPr>
            <w:tcW w:type="dxa" w:w="2160"/>
          </w:tcPr>
          <w:p>
            <w:r>
              <w:t>Net worth (equity)</w:t>
            </w:r>
          </w:p>
        </w:tc>
        <w:tc>
          <w:tcPr>
            <w:tcW w:type="dxa" w:w="2160"/>
          </w:tcPr>
          <w:p>
            <w:r>
              <w:t>90.0</w:t>
            </w:r>
          </w:p>
        </w:tc>
        <w:tc>
          <w:tcPr>
            <w:tcW w:type="dxa" w:w="2160"/>
          </w:tcPr>
          <w:p>
            <w:r>
              <w:t>99.0</w:t>
            </w:r>
          </w:p>
        </w:tc>
        <w:tc>
          <w:tcPr>
            <w:tcW w:type="dxa" w:w="2160"/>
          </w:tcPr>
          <w:p>
            <w:r>
              <w:t>110.0</w:t>
            </w:r>
          </w:p>
        </w:tc>
      </w:tr>
      <w:tr>
        <w:tc>
          <w:tcPr>
            <w:tcW w:type="dxa" w:w="2160"/>
          </w:tcPr>
          <w:p>
            <w:r>
              <w:t>Operating cash flow</w:t>
            </w:r>
          </w:p>
        </w:tc>
        <w:tc>
          <w:tcPr>
            <w:tcW w:type="dxa" w:w="2160"/>
          </w:tcPr>
          <w:p>
            <w:r>
              <w:t>22.0</w:t>
            </w:r>
          </w:p>
        </w:tc>
        <w:tc>
          <w:tcPr>
            <w:tcW w:type="dxa" w:w="2160"/>
          </w:tcPr>
          <w:p>
            <w:r>
              <w:t>25.0</w:t>
            </w:r>
          </w:p>
        </w:tc>
        <w:tc>
          <w:tcPr>
            <w:tcW w:type="dxa" w:w="2160"/>
          </w:tcPr>
          <w:p>
            <w:r>
              <w:t>29.0</w:t>
            </w:r>
          </w:p>
        </w:tc>
      </w:tr>
      <w:tr>
        <w:tc>
          <w:tcPr>
            <w:tcW w:type="dxa" w:w="2160"/>
          </w:tcPr>
          <w:p>
            <w:r>
              <w:t>Capital expenditure</w:t>
            </w:r>
          </w:p>
        </w:tc>
        <w:tc>
          <w:tcPr>
            <w:tcW w:type="dxa" w:w="2160"/>
          </w:tcPr>
          <w:p>
            <w:r>
              <w:t>18.0</w:t>
            </w:r>
          </w:p>
        </w:tc>
        <w:tc>
          <w:tcPr>
            <w:tcW w:type="dxa" w:w="2160"/>
          </w:tcPr>
          <w:p>
            <w:r>
              <w:t>20.0</w:t>
            </w:r>
          </w:p>
        </w:tc>
        <w:tc>
          <w:tcPr>
            <w:tcW w:type="dxa" w:w="2160"/>
          </w:tcPr>
          <w:p>
            <w:r>
              <w:t>22.0</w:t>
            </w:r>
          </w:p>
        </w:tc>
      </w:tr>
      <w:tr>
        <w:tc>
          <w:tcPr>
            <w:tcW w:type="dxa" w:w="2160"/>
          </w:tcPr>
          <w:p>
            <w:r>
              <w:t>Interest expense</w:t>
            </w:r>
          </w:p>
        </w:tc>
        <w:tc>
          <w:tcPr>
            <w:tcW w:type="dxa" w:w="2160"/>
          </w:tcPr>
          <w:p>
            <w:r>
              <w:t>4.0</w:t>
            </w:r>
          </w:p>
        </w:tc>
        <w:tc>
          <w:tcPr>
            <w:tcW w:type="dxa" w:w="2160"/>
          </w:tcPr>
          <w:p>
            <w:r>
              <w:t>4.2</w:t>
            </w:r>
          </w:p>
        </w:tc>
        <w:tc>
          <w:tcPr>
            <w:tcW w:type="dxa" w:w="2160"/>
          </w:tcPr>
          <w:p>
            <w:r>
              <w:t>4.4</w:t>
            </w:r>
          </w:p>
        </w:tc>
      </w:tr>
      <w:tr>
        <w:tc>
          <w:tcPr>
            <w:tcW w:type="dxa" w:w="2160"/>
          </w:tcPr>
          <w:p>
            <w:r>
              <w:t>Debt service</w:t>
            </w:r>
          </w:p>
        </w:tc>
        <w:tc>
          <w:tcPr>
            <w:tcW w:type="dxa" w:w="2160"/>
          </w:tcPr>
          <w:p>
            <w:r>
              <w:t>12.7</w:t>
            </w:r>
          </w:p>
        </w:tc>
        <w:tc>
          <w:tcPr>
            <w:tcW w:type="dxa" w:w="2160"/>
          </w:tcPr>
          <w:p>
            <w:r>
              <w:t>13.5</w:t>
            </w:r>
          </w:p>
        </w:tc>
        <w:tc>
          <w:tcPr>
            <w:tcW w:type="dxa" w:w="2160"/>
          </w:tcPr>
          <w:p>
            <w:r>
              <w:t>14.1</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1.07x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Term finance</w:t>
            </w:r>
          </w:p>
        </w:tc>
      </w:tr>
      <w:tr>
        <w:tc>
          <w:tcPr>
            <w:tcW w:type="dxa" w:w="4320"/>
          </w:tcPr>
          <w:p>
            <w:r>
              <w:t>Structure</w:t>
            </w:r>
          </w:p>
        </w:tc>
        <w:tc>
          <w:tcPr>
            <w:tcW w:type="dxa" w:w="4320"/>
          </w:tcPr>
          <w:p>
            <w:r>
              <w:t>Murabaha</w:t>
            </w:r>
          </w:p>
        </w:tc>
      </w:tr>
      <w:tr>
        <w:tc>
          <w:tcPr>
            <w:tcW w:type="dxa" w:w="4320"/>
          </w:tcPr>
          <w:p>
            <w:r>
              <w:t>Currency</w:t>
            </w:r>
          </w:p>
        </w:tc>
        <w:tc>
          <w:tcPr>
            <w:tcW w:type="dxa" w:w="4320"/>
          </w:tcPr>
          <w:p>
            <w:r>
              <w:t>SAR</w:t>
            </w:r>
          </w:p>
        </w:tc>
      </w:tr>
      <w:tr>
        <w:tc>
          <w:tcPr>
            <w:tcW w:type="dxa" w:w="4320"/>
          </w:tcPr>
          <w:p>
            <w:r>
              <w:t>Amount</w:t>
            </w:r>
          </w:p>
        </w:tc>
        <w:tc>
          <w:tcPr>
            <w:tcW w:type="dxa" w:w="4320"/>
          </w:tcPr>
          <w:p>
            <w:r>
              <w:t>SAR 50 million</w:t>
            </w:r>
          </w:p>
        </w:tc>
      </w:tr>
      <w:tr>
        <w:tc>
          <w:tcPr>
            <w:tcW w:type="dxa" w:w="4320"/>
          </w:tcPr>
          <w:p>
            <w:r>
              <w:t>Tenor</w:t>
            </w:r>
          </w:p>
        </w:tc>
        <w:tc>
          <w:tcPr>
            <w:tcW w:type="dxa" w:w="4320"/>
          </w:tcPr>
          <w:p>
            <w:r>
              <w:t>5 years</w:t>
            </w:r>
          </w:p>
        </w:tc>
      </w:tr>
      <w:tr>
        <w:tc>
          <w:tcPr>
            <w:tcW w:type="dxa" w:w="4320"/>
          </w:tcPr>
          <w:p>
            <w:r>
              <w:t>Grace</w:t>
            </w:r>
          </w:p>
        </w:tc>
        <w:tc>
          <w:tcPr>
            <w:tcW w:type="dxa" w:w="4320"/>
          </w:tcPr>
          <w:p>
            <w:r>
              <w:t>1 years</w:t>
            </w:r>
          </w:p>
        </w:tc>
      </w:tr>
      <w:tr>
        <w:tc>
          <w:tcPr>
            <w:tcW w:type="dxa" w:w="4320"/>
          </w:tcPr>
          <w:p>
            <w:r>
              <w:t>Repayment</w:t>
            </w:r>
          </w:p>
        </w:tc>
        <w:tc>
          <w:tcPr>
            <w:tcW w:type="dxa" w:w="4320"/>
          </w:tcPr>
          <w:p>
            <w:r>
              <w:t>equal</w:t>
            </w:r>
          </w:p>
        </w:tc>
      </w:tr>
      <w:tr>
        <w:tc>
          <w:tcPr>
            <w:tcW w:type="dxa" w:w="4320"/>
          </w:tcPr>
          <w:p>
            <w:r>
              <w:t>Margin</w:t>
            </w:r>
          </w:p>
        </w:tc>
        <w:tc>
          <w:tcPr>
            <w:tcW w:type="dxa" w:w="4320"/>
          </w:tcPr>
          <w:p>
            <w:r>
              <w:t>SAIBOR + 250 bps</w:t>
            </w:r>
          </w:p>
        </w:tc>
      </w:tr>
      <w:tr>
        <w:tc>
          <w:tcPr>
            <w:tcW w:type="dxa" w:w="4320"/>
          </w:tcPr>
          <w:p>
            <w:r>
              <w:t>Upfront fee</w:t>
            </w:r>
          </w:p>
        </w:tc>
        <w:tc>
          <w:tcPr>
            <w:tcW w:type="dxa" w:w="4320"/>
          </w:tcPr>
          <w:p>
            <w:r>
              <w:t>50 bps</w:t>
            </w:r>
          </w:p>
        </w:tc>
      </w:tr>
      <w:tr>
        <w:tc>
          <w:tcPr>
            <w:tcW w:type="dxa" w:w="4320"/>
          </w:tcPr>
          <w:p>
            <w:r>
              <w:t>Commitment fee</w:t>
            </w:r>
          </w:p>
        </w:tc>
        <w:tc>
          <w:tcPr>
            <w:tcW w:type="dxa" w:w="4320"/>
          </w:tcPr>
          <w:p>
            <w:r>
              <w:t>20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New 80-bed specialist wing.</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None offered</w:t>
            </w:r>
          </w:p>
        </w:tc>
      </w:tr>
      <w:tr>
        <w:tc>
          <w:tcPr>
            <w:tcW w:type="dxa" w:w="4320"/>
          </w:tcPr>
          <w:p>
            <w:r>
              <w:t>Guarantee type</w:t>
            </w:r>
          </w:p>
        </w:tc>
        <w:tc>
          <w:tcPr>
            <w:tcW w:type="dxa" w:w="4320"/>
          </w:tcPr>
          <w:p>
            <w:r>
              <w:t>kafalah</w:t>
            </w:r>
          </w:p>
        </w:tc>
      </w:tr>
      <w:tr>
        <w:tc>
          <w:tcPr>
            <w:tcW w:type="dxa" w:w="4320"/>
          </w:tcPr>
          <w:p>
            <w:r>
              <w:t>Guarantor</w:t>
            </w:r>
          </w:p>
        </w:tc>
        <w:tc>
          <w:tcPr>
            <w:tcW w:type="dxa" w:w="4320"/>
          </w:tcPr>
          <w:p>
            <w:r>
              <w:t>Kafalah SME guarantee programme</w:t>
            </w:r>
          </w:p>
        </w:tc>
      </w:tr>
      <w:tr>
        <w:tc>
          <w:tcPr>
            <w:tcW w:type="dxa" w:w="4320"/>
          </w:tcPr>
          <w:p>
            <w:r>
              <w:t>Guarantee cover</w:t>
            </w:r>
          </w:p>
        </w:tc>
        <w:tc>
          <w:tcPr>
            <w:tcW w:type="dxa" w:w="4320"/>
          </w:tcPr>
          <w:p>
            <w:r>
              <w:t>80%</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1.25x</w:t>
            </w:r>
          </w:p>
        </w:tc>
      </w:tr>
      <w:tr>
        <w:tc>
          <w:tcPr>
            <w:tcW w:type="dxa" w:w="4320"/>
          </w:tcPr>
          <w:p>
            <w:r>
              <w:t>Debt/EBITDA maximum</w:t>
            </w:r>
          </w:p>
        </w:tc>
        <w:tc>
          <w:tcPr>
            <w:tcW w:type="dxa" w:w="4320"/>
          </w:tcPr>
          <w:p>
            <w:r>
              <w:t>3.5x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term finance of SAR 50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