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Wadi Hanifah Technologies Company</w:t>
      </w:r>
    </w:p>
    <w:p>
      <w:r>
        <w:t>Reference DD-209 · Corporate Banking · prepared by Abdullah Al-Zahrani · October 2026</w:t>
      </w:r>
    </w:p>
    <w:p>
      <w:r>
        <w:t>Synthetic demo data for CreditProbe. Not client data. Amounts in SAR million unless stated.</w:t>
      </w:r>
    </w:p>
    <w:p>
      <w:pPr>
        <w:pStyle w:val="Heading1"/>
      </w:pPr>
      <w:r>
        <w:t>1. Executive summary</w:t>
      </w:r>
    </w:p>
    <w:p>
      <w:r>
        <w:t>The relationship team requests a performance letter of guarantee of SAR 30 million over 2 years for Wadi Hanifah Technologies Company, priced at SAIBOR + 0 bps with a 25 bps upfront fee, secured by cash valued at SAR 6 million. The purpose is performance guarantees for a government digital-services contract.</w:t>
      </w:r>
    </w:p>
    <w:p>
      <w:r>
        <w:t>The obligor is rated BBB- on the internal scale. Revenue grew from SAR 230 million in 2023 to SAR 295 million in 2025, and EBITDA from SAR 35 million to SAR 46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Wadi Hanifah Technologies Company</w:t>
            </w:r>
          </w:p>
        </w:tc>
      </w:tr>
      <w:tr>
        <w:tc>
          <w:tcPr>
            <w:tcW w:type="dxa" w:w="4320"/>
          </w:tcPr>
          <w:p>
            <w:r>
              <w:t>CR number</w:t>
            </w:r>
          </w:p>
        </w:tc>
        <w:tc>
          <w:tcPr>
            <w:tcW w:type="dxa" w:w="4320"/>
          </w:tcPr>
          <w:p>
            <w:r>
              <w:t>1010812276</w:t>
            </w:r>
          </w:p>
        </w:tc>
      </w:tr>
      <w:tr>
        <w:tc>
          <w:tcPr>
            <w:tcW w:type="dxa" w:w="4320"/>
          </w:tcPr>
          <w:p>
            <w:r>
              <w:t>Group</w:t>
            </w:r>
          </w:p>
        </w:tc>
        <w:tc>
          <w:tcPr>
            <w:tcW w:type="dxa" w:w="4320"/>
          </w:tcPr>
          <w:p>
            <w:r>
              <w:t>Wadi Hanifah Technologies Group (CG1191-011)</w:t>
            </w:r>
          </w:p>
        </w:tc>
      </w:tr>
      <w:tr>
        <w:tc>
          <w:tcPr>
            <w:tcW w:type="dxa" w:w="4320"/>
          </w:tcPr>
          <w:p>
            <w:r>
              <w:t>Sector</w:t>
            </w:r>
          </w:p>
        </w:tc>
        <w:tc>
          <w:tcPr>
            <w:tcW w:type="dxa" w:w="4320"/>
          </w:tcPr>
          <w:p>
            <w:r>
              <w:t>Information Technology</w:t>
            </w:r>
          </w:p>
        </w:tc>
      </w:tr>
      <w:tr>
        <w:tc>
          <w:tcPr>
            <w:tcW w:type="dxa" w:w="4320"/>
          </w:tcPr>
          <w:p>
            <w:r>
              <w:t>Region</w:t>
            </w:r>
          </w:p>
        </w:tc>
        <w:tc>
          <w:tcPr>
            <w:tcW w:type="dxa" w:w="4320"/>
          </w:tcPr>
          <w:p>
            <w:r>
              <w:t>Riyadh</w:t>
            </w:r>
          </w:p>
        </w:tc>
      </w:tr>
      <w:tr>
        <w:tc>
          <w:tcPr>
            <w:tcW w:type="dxa" w:w="4320"/>
          </w:tcPr>
          <w:p>
            <w:r>
              <w:t>Internal rating</w:t>
            </w:r>
          </w:p>
        </w:tc>
        <w:tc>
          <w:tcPr>
            <w:tcW w:type="dxa" w:w="4320"/>
          </w:tcPr>
          <w:p>
            <w:r>
              <w:t>BBB-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Abdullah Al-Zahrani</w:t>
            </w:r>
          </w:p>
        </w:tc>
      </w:tr>
    </w:tbl>
    <w:p/>
    <w:p>
      <w:pPr>
        <w:pStyle w:val="Heading1"/>
      </w:pPr>
      <w:r>
        <w:t>2. Background</w:t>
      </w:r>
    </w:p>
    <w:p>
      <w:r>
        <w:t>Wadi Hanifah Technologies Company was incorporated under commercial registration 1010812276 and operates from Riyadh. It is active in information technology,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a member of Wadi Hanifah Technologies Group (CG1191-011), an existing connected group in the bank's corporate book. Exposure to the group is aggregated for the connected-group limit (CP-1.2) and the large-exposure limit.</w:t>
      </w:r>
    </w:p>
    <w:p>
      <w:r>
        <w:t>The holding company owns 100% of the obligor; sister companies bank with us on working-capital and trade lines. Connected parties are identified under the bank's related-party policy.</w:t>
      </w:r>
    </w:p>
    <w:tbl>
      <w:tblPr>
        <w:tblStyle w:val="LightGrid-Accent1"/>
        <w:tblW w:type="auto" w:w="0"/>
        <w:tblLook w:firstColumn="1" w:firstRow="1" w:lastColumn="0" w:lastRow="0" w:noHBand="0" w:noVBand="1" w:val="04A0"/>
      </w:tblPr>
      <w:tblGrid>
        <w:gridCol w:w="4320"/>
        <w:gridCol w:w="4320"/>
      </w:tblGrid>
      <w:tr>
        <w:tc>
          <w:tcPr>
            <w:tcW w:type="dxa" w:w="4320"/>
          </w:tcPr>
          <w:p>
            <w:r>
              <w:t>Ownership</w:t>
            </w:r>
          </w:p>
        </w:tc>
        <w:tc>
          <w:tcPr>
            <w:tcW w:type="dxa" w:w="4320"/>
          </w:tcPr>
          <w:p>
            <w:r>
              <w:t>Share</w:t>
            </w:r>
          </w:p>
        </w:tc>
      </w:tr>
      <w:tr>
        <w:tc>
          <w:tcPr>
            <w:tcW w:type="dxa" w:w="4320"/>
          </w:tcPr>
          <w:p>
            <w:r>
              <w:t>Holding company</w:t>
            </w:r>
          </w:p>
        </w:tc>
        <w:tc>
          <w:tcPr>
            <w:tcW w:type="dxa" w:w="4320"/>
          </w:tcPr>
          <w:p>
            <w:r>
              <w:t>100%</w:t>
            </w:r>
          </w:p>
        </w:tc>
      </w:tr>
      <w:tr>
        <w:tc>
          <w:tcPr>
            <w:tcW w:type="dxa" w:w="4320"/>
          </w:tcPr>
          <w:p>
            <w:r>
              <w:t>Ultimate beneficial owners (family)</w:t>
            </w:r>
          </w:p>
        </w:tc>
        <w:tc>
          <w:tcPr>
            <w:tcW w:type="dxa" w:w="4320"/>
          </w:tcPr>
          <w:p>
            <w:r>
              <w:t>100% of the holding</w:t>
            </w:r>
          </w:p>
        </w:tc>
      </w:tr>
    </w:tbl>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information technology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230.0</w:t>
            </w:r>
          </w:p>
        </w:tc>
        <w:tc>
          <w:tcPr>
            <w:tcW w:type="dxa" w:w="2160"/>
          </w:tcPr>
          <w:p>
            <w:r>
              <w:t>262.0</w:t>
            </w:r>
          </w:p>
        </w:tc>
        <w:tc>
          <w:tcPr>
            <w:tcW w:type="dxa" w:w="2160"/>
          </w:tcPr>
          <w:p>
            <w:r>
              <w:t>295.0</w:t>
            </w:r>
          </w:p>
        </w:tc>
      </w:tr>
      <w:tr>
        <w:tc>
          <w:tcPr>
            <w:tcW w:type="dxa" w:w="2160"/>
          </w:tcPr>
          <w:p>
            <w:r>
              <w:t>EBITDA</w:t>
            </w:r>
          </w:p>
        </w:tc>
        <w:tc>
          <w:tcPr>
            <w:tcW w:type="dxa" w:w="2160"/>
          </w:tcPr>
          <w:p>
            <w:r>
              <w:t>35.0</w:t>
            </w:r>
          </w:p>
        </w:tc>
        <w:tc>
          <w:tcPr>
            <w:tcW w:type="dxa" w:w="2160"/>
          </w:tcPr>
          <w:p>
            <w:r>
              <w:t>40.0</w:t>
            </w:r>
          </w:p>
        </w:tc>
        <w:tc>
          <w:tcPr>
            <w:tcW w:type="dxa" w:w="2160"/>
          </w:tcPr>
          <w:p>
            <w:r>
              <w:t>46.0</w:t>
            </w:r>
          </w:p>
        </w:tc>
      </w:tr>
      <w:tr>
        <w:tc>
          <w:tcPr>
            <w:tcW w:type="dxa" w:w="2160"/>
          </w:tcPr>
          <w:p>
            <w:r>
              <w:t>Net income</w:t>
            </w:r>
          </w:p>
        </w:tc>
        <w:tc>
          <w:tcPr>
            <w:tcW w:type="dxa" w:w="2160"/>
          </w:tcPr>
          <w:p>
            <w:r>
              <w:t>14.0</w:t>
            </w:r>
          </w:p>
        </w:tc>
        <w:tc>
          <w:tcPr>
            <w:tcW w:type="dxa" w:w="2160"/>
          </w:tcPr>
          <w:p>
            <w:r>
              <w:t>17.0</w:t>
            </w:r>
          </w:p>
        </w:tc>
        <w:tc>
          <w:tcPr>
            <w:tcW w:type="dxa" w:w="2160"/>
          </w:tcPr>
          <w:p>
            <w:r>
              <w:t>20.0</w:t>
            </w:r>
          </w:p>
        </w:tc>
      </w:tr>
      <w:tr>
        <w:tc>
          <w:tcPr>
            <w:tcW w:type="dxa" w:w="2160"/>
          </w:tcPr>
          <w:p>
            <w:r>
              <w:t>Total debt</w:t>
            </w:r>
          </w:p>
        </w:tc>
        <w:tc>
          <w:tcPr>
            <w:tcW w:type="dxa" w:w="2160"/>
          </w:tcPr>
          <w:p>
            <w:r>
              <w:t>60.0</w:t>
            </w:r>
          </w:p>
        </w:tc>
        <w:tc>
          <w:tcPr>
            <w:tcW w:type="dxa" w:w="2160"/>
          </w:tcPr>
          <w:p>
            <w:r>
              <w:t>62.0</w:t>
            </w:r>
          </w:p>
        </w:tc>
        <w:tc>
          <w:tcPr>
            <w:tcW w:type="dxa" w:w="2160"/>
          </w:tcPr>
          <w:p>
            <w:r>
              <w:t>64.0</w:t>
            </w:r>
          </w:p>
        </w:tc>
      </w:tr>
      <w:tr>
        <w:tc>
          <w:tcPr>
            <w:tcW w:type="dxa" w:w="2160"/>
          </w:tcPr>
          <w:p>
            <w:r>
              <w:t>Cash and equivalents</w:t>
            </w:r>
          </w:p>
        </w:tc>
        <w:tc>
          <w:tcPr>
            <w:tcW w:type="dxa" w:w="2160"/>
          </w:tcPr>
          <w:p>
            <w:r>
              <w:t>30.0</w:t>
            </w:r>
          </w:p>
        </w:tc>
        <w:tc>
          <w:tcPr>
            <w:tcW w:type="dxa" w:w="2160"/>
          </w:tcPr>
          <w:p>
            <w:r>
              <w:t>34.0</w:t>
            </w:r>
          </w:p>
        </w:tc>
        <w:tc>
          <w:tcPr>
            <w:tcW w:type="dxa" w:w="2160"/>
          </w:tcPr>
          <w:p>
            <w:r>
              <w:t>39.0</w:t>
            </w:r>
          </w:p>
        </w:tc>
      </w:tr>
      <w:tr>
        <w:tc>
          <w:tcPr>
            <w:tcW w:type="dxa" w:w="2160"/>
          </w:tcPr>
          <w:p>
            <w:r>
              <w:t>Net worth (equity)</w:t>
            </w:r>
          </w:p>
        </w:tc>
        <w:tc>
          <w:tcPr>
            <w:tcW w:type="dxa" w:w="2160"/>
          </w:tcPr>
          <w:p>
            <w:r>
              <w:t>120.0</w:t>
            </w:r>
          </w:p>
        </w:tc>
        <w:tc>
          <w:tcPr>
            <w:tcW w:type="dxa" w:w="2160"/>
          </w:tcPr>
          <w:p>
            <w:r>
              <w:t>135.0</w:t>
            </w:r>
          </w:p>
        </w:tc>
        <w:tc>
          <w:tcPr>
            <w:tcW w:type="dxa" w:w="2160"/>
          </w:tcPr>
          <w:p>
            <w:r>
              <w:t>152.0</w:t>
            </w:r>
          </w:p>
        </w:tc>
      </w:tr>
      <w:tr>
        <w:tc>
          <w:tcPr>
            <w:tcW w:type="dxa" w:w="2160"/>
          </w:tcPr>
          <w:p>
            <w:r>
              <w:t>Operating cash flow</w:t>
            </w:r>
          </w:p>
        </w:tc>
        <w:tc>
          <w:tcPr>
            <w:tcW w:type="dxa" w:w="2160"/>
          </w:tcPr>
          <w:p>
            <w:r>
              <w:t>30.0</w:t>
            </w:r>
          </w:p>
        </w:tc>
        <w:tc>
          <w:tcPr>
            <w:tcW w:type="dxa" w:w="2160"/>
          </w:tcPr>
          <w:p>
            <w:r>
              <w:t>34.0</w:t>
            </w:r>
          </w:p>
        </w:tc>
        <w:tc>
          <w:tcPr>
            <w:tcW w:type="dxa" w:w="2160"/>
          </w:tcPr>
          <w:p>
            <w:r>
              <w:t>39.0</w:t>
            </w:r>
          </w:p>
        </w:tc>
      </w:tr>
      <w:tr>
        <w:tc>
          <w:tcPr>
            <w:tcW w:type="dxa" w:w="2160"/>
          </w:tcPr>
          <w:p>
            <w:r>
              <w:t>Capital expenditure</w:t>
            </w:r>
          </w:p>
        </w:tc>
        <w:tc>
          <w:tcPr>
            <w:tcW w:type="dxa" w:w="2160"/>
          </w:tcPr>
          <w:p>
            <w:r>
              <w:t>8.0</w:t>
            </w:r>
          </w:p>
        </w:tc>
        <w:tc>
          <w:tcPr>
            <w:tcW w:type="dxa" w:w="2160"/>
          </w:tcPr>
          <w:p>
            <w:r>
              <w:t>9.0</w:t>
            </w:r>
          </w:p>
        </w:tc>
        <w:tc>
          <w:tcPr>
            <w:tcW w:type="dxa" w:w="2160"/>
          </w:tcPr>
          <w:p>
            <w:r>
              <w:t>10.0</w:t>
            </w:r>
          </w:p>
        </w:tc>
      </w:tr>
      <w:tr>
        <w:tc>
          <w:tcPr>
            <w:tcW w:type="dxa" w:w="2160"/>
          </w:tcPr>
          <w:p>
            <w:r>
              <w:t>Interest expense</w:t>
            </w:r>
          </w:p>
        </w:tc>
        <w:tc>
          <w:tcPr>
            <w:tcW w:type="dxa" w:w="2160"/>
          </w:tcPr>
          <w:p>
            <w:r>
              <w:t>3.0</w:t>
            </w:r>
          </w:p>
        </w:tc>
        <w:tc>
          <w:tcPr>
            <w:tcW w:type="dxa" w:w="2160"/>
          </w:tcPr>
          <w:p>
            <w:r>
              <w:t>3.1</w:t>
            </w:r>
          </w:p>
        </w:tc>
        <w:tc>
          <w:tcPr>
            <w:tcW w:type="dxa" w:w="2160"/>
          </w:tcPr>
          <w:p>
            <w:r>
              <w:t>3.2</w:t>
            </w:r>
          </w:p>
        </w:tc>
      </w:tr>
      <w:tr>
        <w:tc>
          <w:tcPr>
            <w:tcW w:type="dxa" w:w="2160"/>
          </w:tcPr>
          <w:p>
            <w:r>
              <w:t>Debt service</w:t>
            </w:r>
          </w:p>
        </w:tc>
        <w:tc>
          <w:tcPr>
            <w:tcW w:type="dxa" w:w="2160"/>
          </w:tcPr>
          <w:p>
            <w:r>
              <w:t>13.0</w:t>
            </w:r>
          </w:p>
        </w:tc>
        <w:tc>
          <w:tcPr>
            <w:tcW w:type="dxa" w:w="2160"/>
          </w:tcPr>
          <w:p>
            <w:r>
              <w:t>13.4</w:t>
            </w:r>
          </w:p>
        </w:tc>
        <w:tc>
          <w:tcPr>
            <w:tcW w:type="dxa" w:w="2160"/>
          </w:tcPr>
          <w:p>
            <w:r>
              <w:t>13.9</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1.39x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Performance letter of guarantee</w:t>
            </w:r>
          </w:p>
        </w:tc>
      </w:tr>
      <w:tr>
        <w:tc>
          <w:tcPr>
            <w:tcW w:type="dxa" w:w="4320"/>
          </w:tcPr>
          <w:p>
            <w:r>
              <w:t>Structure</w:t>
            </w:r>
          </w:p>
        </w:tc>
        <w:tc>
          <w:tcPr>
            <w:tcW w:type="dxa" w:w="4320"/>
          </w:tcPr>
          <w:p>
            <w:r>
              <w:t>Conventional</w:t>
            </w:r>
          </w:p>
        </w:tc>
      </w:tr>
      <w:tr>
        <w:tc>
          <w:tcPr>
            <w:tcW w:type="dxa" w:w="4320"/>
          </w:tcPr>
          <w:p>
            <w:r>
              <w:t>Currency</w:t>
            </w:r>
          </w:p>
        </w:tc>
        <w:tc>
          <w:tcPr>
            <w:tcW w:type="dxa" w:w="4320"/>
          </w:tcPr>
          <w:p>
            <w:r>
              <w:t>SAR</w:t>
            </w:r>
          </w:p>
        </w:tc>
      </w:tr>
      <w:tr>
        <w:tc>
          <w:tcPr>
            <w:tcW w:type="dxa" w:w="4320"/>
          </w:tcPr>
          <w:p>
            <w:r>
              <w:t>Amount</w:t>
            </w:r>
          </w:p>
        </w:tc>
        <w:tc>
          <w:tcPr>
            <w:tcW w:type="dxa" w:w="4320"/>
          </w:tcPr>
          <w:p>
            <w:r>
              <w:t>SAR 30 million</w:t>
            </w:r>
          </w:p>
        </w:tc>
      </w:tr>
      <w:tr>
        <w:tc>
          <w:tcPr>
            <w:tcW w:type="dxa" w:w="4320"/>
          </w:tcPr>
          <w:p>
            <w:r>
              <w:t>Tenor</w:t>
            </w:r>
          </w:p>
        </w:tc>
        <w:tc>
          <w:tcPr>
            <w:tcW w:type="dxa" w:w="4320"/>
          </w:tcPr>
          <w:p>
            <w:r>
              <w:t>2 years</w:t>
            </w:r>
          </w:p>
        </w:tc>
      </w:tr>
      <w:tr>
        <w:tc>
          <w:tcPr>
            <w:tcW w:type="dxa" w:w="4320"/>
          </w:tcPr>
          <w:p>
            <w:r>
              <w:t>Grace</w:t>
            </w:r>
          </w:p>
        </w:tc>
        <w:tc>
          <w:tcPr>
            <w:tcW w:type="dxa" w:w="4320"/>
          </w:tcPr>
          <w:p>
            <w:r>
              <w:t>0 years</w:t>
            </w:r>
          </w:p>
        </w:tc>
      </w:tr>
      <w:tr>
        <w:tc>
          <w:tcPr>
            <w:tcW w:type="dxa" w:w="4320"/>
          </w:tcPr>
          <w:p>
            <w:r>
              <w:t>Repayment</w:t>
            </w:r>
          </w:p>
        </w:tc>
        <w:tc>
          <w:tcPr>
            <w:tcW w:type="dxa" w:w="4320"/>
          </w:tcPr>
          <w:p>
            <w:r>
              <w:t>bullet</w:t>
            </w:r>
          </w:p>
        </w:tc>
      </w:tr>
      <w:tr>
        <w:tc>
          <w:tcPr>
            <w:tcW w:type="dxa" w:w="4320"/>
          </w:tcPr>
          <w:p>
            <w:r>
              <w:t>Margin</w:t>
            </w:r>
          </w:p>
        </w:tc>
        <w:tc>
          <w:tcPr>
            <w:tcW w:type="dxa" w:w="4320"/>
          </w:tcPr>
          <w:p>
            <w:r>
              <w:t>SAIBOR + 0 bps</w:t>
            </w:r>
          </w:p>
        </w:tc>
      </w:tr>
      <w:tr>
        <w:tc>
          <w:tcPr>
            <w:tcW w:type="dxa" w:w="4320"/>
          </w:tcPr>
          <w:p>
            <w:r>
              <w:t>Upfront fee</w:t>
            </w:r>
          </w:p>
        </w:tc>
        <w:tc>
          <w:tcPr>
            <w:tcW w:type="dxa" w:w="4320"/>
          </w:tcPr>
          <w:p>
            <w:r>
              <w:t>25 bps</w:t>
            </w:r>
          </w:p>
        </w:tc>
      </w:tr>
      <w:tr>
        <w:tc>
          <w:tcPr>
            <w:tcW w:type="dxa" w:w="4320"/>
          </w:tcPr>
          <w:p>
            <w:r>
              <w:t>Commitment fee</w:t>
            </w:r>
          </w:p>
        </w:tc>
        <w:tc>
          <w:tcPr>
            <w:tcW w:type="dxa" w:w="4320"/>
          </w:tcPr>
          <w:p>
            <w:r>
              <w:t>0 bps</w:t>
            </w:r>
          </w:p>
        </w:tc>
      </w:tr>
      <w:tr>
        <w:tc>
          <w:tcPr>
            <w:tcW w:type="dxa" w:w="4320"/>
          </w:tcPr>
          <w:p>
            <w:r>
              <w:t>Commission</w:t>
            </w:r>
          </w:p>
        </w:tc>
        <w:tc>
          <w:tcPr>
            <w:tcW w:type="dxa" w:w="4320"/>
          </w:tcPr>
          <w:p>
            <w:r>
              <w:t>120 bps</w:t>
            </w:r>
          </w:p>
        </w:tc>
      </w:tr>
      <w:tr>
        <w:tc>
          <w:tcPr>
            <w:tcW w:type="dxa" w:w="4320"/>
          </w:tcPr>
          <w:p>
            <w:r>
              <w:t>Cash margin</w:t>
            </w:r>
          </w:p>
        </w:tc>
        <w:tc>
          <w:tcPr>
            <w:tcW w:type="dxa" w:w="4320"/>
          </w:tcPr>
          <w:p>
            <w:r>
              <w:t>20%</w:t>
            </w:r>
          </w:p>
        </w:tc>
      </w:tr>
    </w:tbl>
    <w:p/>
    <w:p>
      <w:r>
        <w:t>Purpose: Performance guarantees for a government digital-services contract.</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cash</w:t>
            </w:r>
          </w:p>
        </w:tc>
      </w:tr>
      <w:tr>
        <w:tc>
          <w:tcPr>
            <w:tcW w:type="dxa" w:w="4320"/>
          </w:tcPr>
          <w:p>
            <w:r>
              <w:t>Collateral value</w:t>
            </w:r>
          </w:p>
        </w:tc>
        <w:tc>
          <w:tcPr>
            <w:tcW w:type="dxa" w:w="4320"/>
          </w:tcPr>
          <w:p>
            <w:r>
              <w:t>SAR 6 million</w:t>
            </w:r>
          </w:p>
        </w:tc>
      </w:tr>
      <w:tr>
        <w:tc>
          <w:tcPr>
            <w:tcW w:type="dxa" w:w="4320"/>
          </w:tcPr>
          <w:p>
            <w:r>
              <w:t>Valuation date</w:t>
            </w:r>
          </w:p>
        </w:tc>
        <w:tc>
          <w:tcPr>
            <w:tcW w:type="dxa" w:w="4320"/>
          </w:tcPr>
          <w:p>
            <w:r>
              <w:t>2026-06-30</w:t>
            </w:r>
          </w:p>
        </w:tc>
      </w:tr>
      <w:tr>
        <w:tc>
          <w:tcPr>
            <w:tcW w:type="dxa" w:w="4320"/>
          </w:tcPr>
          <w:p>
            <w:r>
              <w:t>LTV</w:t>
            </w:r>
          </w:p>
        </w:tc>
        <w:tc>
          <w:tcPr>
            <w:tcW w:type="dxa" w:w="4320"/>
          </w:tcPr>
          <w:p>
            <w:r>
              <w:t>500%</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1.3x</w:t>
            </w:r>
          </w:p>
        </w:tc>
      </w:tr>
      <w:tr>
        <w:tc>
          <w:tcPr>
            <w:tcW w:type="dxa" w:w="4320"/>
          </w:tcPr>
          <w:p>
            <w:r>
              <w:t>Debt/EBITDA maximum</w:t>
            </w:r>
          </w:p>
        </w:tc>
        <w:tc>
          <w:tcPr>
            <w:tcW w:type="dxa" w:w="4320"/>
          </w:tcPr>
          <w:p>
            <w:r>
              <w:t>2.5x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performance letter of guarantee of SAR 30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