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Proposal: Al Sahel Building Materials Trading LLC</w:t>
      </w:r>
    </w:p>
    <w:p>
      <w:r>
        <w:t>Group: Al Sahel group. UAE building materials trader. Sector: Trading. Internal rating B+. Tier 2. Relationship: Commercial Banking, Trade Unit. Date: 2026-10-13.</w:t>
      </w:r>
    </w:p>
    <w:p>
      <w:pPr>
        <w:pStyle w:val="Heading1"/>
      </w:pPr>
      <w:r>
        <w:t>1. Request</w:t>
      </w:r>
    </w:p>
    <w:p>
      <w:pPr>
        <w:pStyle w:val="ListBullet"/>
      </w:pPr>
      <w:r>
        <w:t>Renew the AED 15m working capital limit</w:t>
      </w:r>
    </w:p>
    <w:p>
      <w:pPr>
        <w:pStyle w:val="ListBullet"/>
      </w:pPr>
      <w:r>
        <w:t>New AED 10m 5-year vehicle finance limit with a 10% cash margin</w:t>
      </w:r>
    </w:p>
    <w:p>
      <w:pPr>
        <w:pStyle w:val="ListBullet"/>
      </w:pPr>
      <w:r>
        <w:t>Lower the routing undertaking from 2x to 1.5x the limit</w:t>
      </w:r>
    </w:p>
    <w:p>
      <w:pPr>
        <w:pStyle w:val="Heading1"/>
      </w:pPr>
      <w:r>
        <w:t>2. Facilities (AED million)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Facility</w:t>
            </w:r>
          </w:p>
        </w:tc>
        <w:tc>
          <w:tcPr>
            <w:tcW w:type="dxa" w:w="2160"/>
          </w:tcPr>
          <w:p>
            <w:r>
              <w:t>Existing</w:t>
            </w:r>
          </w:p>
        </w:tc>
        <w:tc>
          <w:tcPr>
            <w:tcW w:type="dxa" w:w="2160"/>
          </w:tcPr>
          <w:p>
            <w:r>
              <w:t>Proposed</w:t>
            </w:r>
          </w:p>
        </w:tc>
        <w:tc>
          <w:tcPr>
            <w:tcW w:type="dxa" w:w="2160"/>
          </w:tcPr>
          <w:p>
            <w:r>
              <w:t>Pricing (bps)</w:t>
            </w:r>
          </w:p>
        </w:tc>
      </w:tr>
      <w:tr>
        <w:tc>
          <w:tcPr>
            <w:tcW w:type="dxa" w:w="2160"/>
          </w:tcPr>
          <w:p>
            <w:r>
              <w:t>Working capital (funded)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325</w:t>
            </w:r>
          </w:p>
        </w:tc>
      </w:tr>
      <w:tr>
        <w:tc>
          <w:tcPr>
            <w:tcW w:type="dxa" w:w="2160"/>
          </w:tcPr>
          <w:p>
            <w:r>
              <w:t>Vehicle finance, 5 years (10% cash margin)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Total limits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3. Financial highlights (AED million)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92.0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7.9</w:t>
            </w:r>
          </w:p>
        </w:tc>
      </w:tr>
      <w:tr>
        <w:tc>
          <w:tcPr>
            <w:tcW w:type="dxa" w:w="4320"/>
          </w:tcPr>
          <w:p>
            <w:r>
              <w:t>Debt service</w:t>
            </w:r>
          </w:p>
        </w:tc>
        <w:tc>
          <w:tcPr>
            <w:tcW w:type="dxa" w:w="4320"/>
          </w:tcPr>
          <w:p>
            <w:r>
              <w:t>5.2</w:t>
            </w:r>
          </w:p>
        </w:tc>
      </w:tr>
      <w:tr>
        <w:tc>
          <w:tcPr>
            <w:tcW w:type="dxa" w:w="4320"/>
          </w:tcPr>
          <w:p>
            <w:r>
              <w:t>Net debt</w:t>
            </w:r>
          </w:p>
        </w:tc>
        <w:tc>
          <w:tcPr>
            <w:tcW w:type="dxa" w:w="4320"/>
          </w:tcPr>
          <w:p>
            <w:r>
              <w:t>31.0</w:t>
            </w:r>
          </w:p>
        </w:tc>
      </w:tr>
      <w:tr>
        <w:tc>
          <w:tcPr>
            <w:tcW w:type="dxa" w:w="4320"/>
          </w:tcPr>
          <w:p>
            <w:r>
              <w:t>Current assets</w:t>
            </w:r>
          </w:p>
        </w:tc>
        <w:tc>
          <w:tcPr>
            <w:tcW w:type="dxa" w:w="4320"/>
          </w:tcPr>
          <w:p>
            <w:r>
              <w:t>173.0</w:t>
            </w:r>
          </w:p>
        </w:tc>
      </w:tr>
      <w:tr>
        <w:tc>
          <w:tcPr>
            <w:tcW w:type="dxa" w:w="4320"/>
          </w:tcPr>
          <w:p>
            <w:r>
              <w:t>Due from related parties</w:t>
            </w:r>
          </w:p>
        </w:tc>
        <w:tc>
          <w:tcPr>
            <w:tcW w:type="dxa" w:w="4320"/>
          </w:tcPr>
          <w:p>
            <w:r>
              <w:t>117.65 (68% of current assets, mostly Sahel Transport)</w:t>
            </w:r>
          </w:p>
        </w:tc>
      </w:tr>
      <w:tr>
        <w:tc>
          <w:tcPr>
            <w:tcW w:type="dxa" w:w="4320"/>
          </w:tcPr>
          <w:p>
            <w:r>
              <w:t>Internally generated goodwill</w:t>
            </w:r>
          </w:p>
        </w:tc>
        <w:tc>
          <w:tcPr>
            <w:tcW w:type="dxa" w:w="4320"/>
          </w:tcPr>
          <w:p>
            <w:r>
              <w:t>14.4 (audit qualified)</w:t>
            </w:r>
          </w:p>
        </w:tc>
      </w:tr>
      <w:tr>
        <w:tc>
          <w:tcPr>
            <w:tcW w:type="dxa" w:w="4320"/>
          </w:tcPr>
          <w:p>
            <w:r>
              <w:t>Receivables over 1 year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Cash conversion cycle</w:t>
            </w:r>
          </w:p>
        </w:tc>
        <w:tc>
          <w:tcPr>
            <w:tcW w:type="dxa" w:w="4320"/>
          </w:tcPr>
          <w:p>
            <w:r>
              <w:t>231 days</w:t>
            </w:r>
          </w:p>
        </w:tc>
      </w:tr>
      <w:tr>
        <w:tc>
          <w:tcPr>
            <w:tcW w:type="dxa" w:w="4320"/>
          </w:tcPr>
          <w:p>
            <w:r>
              <w:t>Shareholder withdrawals</w:t>
            </w:r>
          </w:p>
        </w:tc>
        <w:tc>
          <w:tcPr>
            <w:tcW w:type="dxa" w:w="4320"/>
          </w:tcPr>
          <w:p>
            <w:r>
              <w:t>4.87</w:t>
            </w:r>
          </w:p>
        </w:tc>
      </w:tr>
    </w:tbl>
    <w:p>
      <w:pPr>
        <w:pStyle w:val="Heading1"/>
      </w:pPr>
      <w:r>
        <w:t>4. Business and projects</w:t>
      </w:r>
    </w:p>
    <w:p>
      <w:r>
        <w:t>The vehicles will be registered to Sahel Transport entities.</w:t>
      </w:r>
    </w:p>
    <w:p>
      <w:r>
        <w:t>Sahel Transport's 51% sponsor is linked to Marwan Steel General Trading, classified Doubtful at another bank and in litigation over AED 36m; the group holds 25% of it through nominees.</w:t>
      </w:r>
    </w:p>
    <w:p>
      <w:r>
        <w:t>CBRBR shows two group entities at Loss (about AED 10m and AED 31m).</w:t>
      </w:r>
    </w:p>
    <w:p>
      <w:r>
        <w:t>Routing undertaking of 2x the limit met at 33%; the proposal lowers the undertaking to 1.5x.</w:t>
      </w:r>
    </w:p>
    <w:p>
      <w:r>
        <w:t>A corporate guarantor is 51% owned by a bank staff member.</w:t>
      </w:r>
    </w:p>
    <w:p>
      <w:r>
        <w:t>The auditor is not on the bank's approved list.</w:t>
      </w:r>
    </w:p>
    <w:p>
      <w:pPr>
        <w:pStyle w:val="Heading1"/>
      </w:pPr>
      <w:r>
        <w:t>5. Recommendation</w:t>
      </w:r>
    </w:p>
    <w:p>
      <w:r>
        <w:t>Relationship recommendation: Approve renewal and new vehicle limit.</w:t>
      </w:r>
    </w:p>
    <w:p>
      <w:r>
        <w:t xml:space="preserve">CRO review: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