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Proposal: Gulf Meridian Contracting LLC</w:t>
      </w:r>
    </w:p>
    <w:p>
      <w:r>
        <w:t>Group: Meridian Holding. UAE branch of a Kuwaiti contracting group (Meridian Holding). Sector: Construction. Internal rating BB-. Tier 1. Relationship: Corporate Banking, Contracting Unit. Date: 2026-10-13.</w:t>
      </w:r>
    </w:p>
    <w:p>
      <w:pPr>
        <w:pStyle w:val="Heading1"/>
      </w:pPr>
      <w:r>
        <w:t>1. Request</w:t>
      </w:r>
    </w:p>
    <w:p>
      <w:pPr>
        <w:pStyle w:val="ListBullet"/>
      </w:pPr>
      <w:r>
        <w:t>Renew the AED 50m bid bond line</w:t>
      </w:r>
    </w:p>
    <w:p>
      <w:pPr>
        <w:pStyle w:val="ListBullet"/>
      </w:pPr>
      <w:r>
        <w:t>Reduce project limits 1-3</w:t>
      </w:r>
    </w:p>
    <w:p>
      <w:pPr>
        <w:pStyle w:val="ListBullet"/>
      </w:pPr>
      <w:r>
        <w:t>New AED 212.4m one-off limit for the villa project of Arwa Developments</w:t>
      </w:r>
    </w:p>
    <w:p>
      <w:pPr>
        <w:pStyle w:val="ListBullet"/>
      </w:pPr>
      <w:r>
        <w:t>Raise the group exposure cap from AED 822m to AED 1bn</w:t>
      </w:r>
    </w:p>
    <w:p>
      <w:pPr>
        <w:pStyle w:val="ListBullet"/>
      </w:pPr>
      <w:r>
        <w:t>Total limits AED 476.6m -&gt; AED 656.8m</w:t>
      </w:r>
    </w:p>
    <w:p>
      <w:pPr>
        <w:pStyle w:val="Heading1"/>
      </w:pPr>
      <w:r>
        <w:t>2. Facilities (AED million)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Facility</w:t>
            </w:r>
          </w:p>
        </w:tc>
        <w:tc>
          <w:tcPr>
            <w:tcW w:type="dxa" w:w="2160"/>
          </w:tcPr>
          <w:p>
            <w:r>
              <w:t>Existing</w:t>
            </w:r>
          </w:p>
        </w:tc>
        <w:tc>
          <w:tcPr>
            <w:tcW w:type="dxa" w:w="2160"/>
          </w:tcPr>
          <w:p>
            <w:r>
              <w:t>Proposed</w:t>
            </w:r>
          </w:p>
        </w:tc>
        <w:tc>
          <w:tcPr>
            <w:tcW w:type="dxa" w:w="2160"/>
          </w:tcPr>
          <w:p>
            <w:r>
              <w:t>Pricing (bps)</w:t>
            </w:r>
          </w:p>
        </w:tc>
      </w:tr>
      <w:tr>
        <w:tc>
          <w:tcPr>
            <w:tcW w:type="dxa" w:w="2160"/>
          </w:tcPr>
          <w:p>
            <w:r>
              <w:t>Bid bond line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75</w:t>
            </w:r>
          </w:p>
        </w:tc>
      </w:tr>
      <w:tr>
        <w:tc>
          <w:tcPr>
            <w:tcW w:type="dxa" w:w="2160"/>
          </w:tcPr>
          <w:p>
            <w:r>
              <w:t>Project 1 guarantees</w:t>
            </w:r>
          </w:p>
        </w:tc>
        <w:tc>
          <w:tcPr>
            <w:tcW w:type="dxa" w:w="2160"/>
          </w:tcPr>
          <w:p>
            <w:r>
              <w:t>110.0</w:t>
            </w:r>
          </w:p>
        </w:tc>
        <w:tc>
          <w:tcPr>
            <w:tcW w:type="dxa" w:w="2160"/>
          </w:tcPr>
          <w:p>
            <w:r>
              <w:t>95.0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Project 2 guarantees</w:t>
            </w:r>
          </w:p>
        </w:tc>
        <w:tc>
          <w:tcPr>
            <w:tcW w:type="dxa" w:w="2160"/>
          </w:tcPr>
          <w:p>
            <w:r>
              <w:t>96.6</w:t>
            </w:r>
          </w:p>
        </w:tc>
        <w:tc>
          <w:tcPr>
            <w:tcW w:type="dxa" w:w="2160"/>
          </w:tcPr>
          <w:p>
            <w:r>
              <w:t>88.0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Project 3 guarantees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  <w:tc>
          <w:tcPr>
            <w:tcW w:type="dxa" w:w="2160"/>
          </w:tcPr>
          <w:p>
            <w:r>
              <w:t>61.4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General guarantee line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Overdraft and receivables finance (funded)</w:t>
            </w:r>
          </w:p>
        </w:tc>
        <w:tc>
          <w:tcPr>
            <w:tcW w:type="dxa" w:w="2160"/>
          </w:tcPr>
          <w:p>
            <w:r>
              <w:t>80.0</w:t>
            </w:r>
          </w:p>
        </w:tc>
        <w:tc>
          <w:tcPr>
            <w:tcW w:type="dxa" w:w="2160"/>
          </w:tcPr>
          <w:p>
            <w:r>
              <w:t>80.0</w:t>
            </w:r>
          </w:p>
        </w:tc>
        <w:tc>
          <w:tcPr>
            <w:tcW w:type="dxa" w:w="2160"/>
          </w:tcPr>
          <w:p>
            <w:r>
              <w:t>275</w:t>
            </w:r>
          </w:p>
        </w:tc>
      </w:tr>
      <w:tr>
        <w:tc>
          <w:tcPr>
            <w:tcW w:type="dxa" w:w="2160"/>
          </w:tcPr>
          <w:p>
            <w:r>
              <w:t>Arwa villa project one-off limit (advance payment and performance)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212.4</w:t>
            </w:r>
          </w:p>
        </w:tc>
        <w:tc>
          <w:tcPr>
            <w:tcW w:type="dxa" w:w="2160"/>
          </w:tcPr>
          <w:p>
            <w:r>
              <w:t>95</w:t>
            </w:r>
          </w:p>
        </w:tc>
      </w:tr>
      <w:tr>
        <w:tc>
          <w:tcPr>
            <w:tcW w:type="dxa" w:w="2160"/>
          </w:tcPr>
          <w:p>
            <w:r>
              <w:t>Total limits</w:t>
            </w:r>
          </w:p>
        </w:tc>
        <w:tc>
          <w:tcPr>
            <w:tcW w:type="dxa" w:w="2160"/>
          </w:tcPr>
          <w:p>
            <w:r>
              <w:t>476.6</w:t>
            </w:r>
          </w:p>
        </w:tc>
        <w:tc>
          <w:tcPr>
            <w:tcW w:type="dxa" w:w="2160"/>
          </w:tcPr>
          <w:p>
            <w:r>
              <w:t>656.8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t>Group exposure cap: AED 822m, proposed AED 1,000m (group exposure after this request AED 978.2m).</w:t>
      </w:r>
    </w:p>
    <w:p>
      <w:pPr>
        <w:pStyle w:val="Heading1"/>
      </w:pPr>
      <w:r>
        <w:t>3. Financial highlights (AED million)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2,050.0</w:t>
            </w:r>
          </w:p>
        </w:tc>
      </w:tr>
      <w:tr>
        <w:tc>
          <w:tcPr>
            <w:tcW w:type="dxa" w:w="4320"/>
          </w:tcPr>
          <w:p>
            <w:r>
              <w:t>EBITDA</w:t>
            </w:r>
          </w:p>
        </w:tc>
        <w:tc>
          <w:tcPr>
            <w:tcW w:type="dxa" w:w="4320"/>
          </w:tcPr>
          <w:p>
            <w:r>
              <w:t>96.0</w:t>
            </w:r>
          </w:p>
        </w:tc>
      </w:tr>
      <w:tr>
        <w:tc>
          <w:tcPr>
            <w:tcW w:type="dxa" w:w="4320"/>
          </w:tcPr>
          <w:p>
            <w:r>
              <w:t>Debt service</w:t>
            </w:r>
          </w:p>
        </w:tc>
        <w:tc>
          <w:tcPr>
            <w:tcW w:type="dxa" w:w="4320"/>
          </w:tcPr>
          <w:p>
            <w:r>
              <w:t>41.0</w:t>
            </w:r>
          </w:p>
        </w:tc>
      </w:tr>
      <w:tr>
        <w:tc>
          <w:tcPr>
            <w:tcW w:type="dxa" w:w="4320"/>
          </w:tcPr>
          <w:p>
            <w:r>
              <w:t>Net debt</w:t>
            </w:r>
          </w:p>
        </w:tc>
        <w:tc>
          <w:tcPr>
            <w:tcW w:type="dxa" w:w="4320"/>
          </w:tcPr>
          <w:p>
            <w:r>
              <w:t>214.0</w:t>
            </w:r>
          </w:p>
        </w:tc>
      </w:tr>
      <w:tr>
        <w:tc>
          <w:tcPr>
            <w:tcW w:type="dxa" w:w="4320"/>
          </w:tcPr>
          <w:p>
            <w:r>
              <w:t>Backlog</w:t>
            </w:r>
          </w:p>
        </w:tc>
        <w:tc>
          <w:tcPr>
            <w:tcW w:type="dxa" w:w="4320"/>
          </w:tcPr>
          <w:p>
            <w:r>
              <w:t>8,200 (prior year 3,416.7, up 140%)</w:t>
            </w:r>
          </w:p>
        </w:tc>
      </w:tr>
      <w:tr>
        <w:tc>
          <w:tcPr>
            <w:tcW w:type="dxa" w:w="4320"/>
          </w:tcPr>
          <w:p>
            <w:r>
              <w:t>Backlog concentration</w:t>
            </w:r>
          </w:p>
        </w:tc>
        <w:tc>
          <w:tcPr>
            <w:tcW w:type="dxa" w:w="4320"/>
          </w:tcPr>
          <w:p>
            <w:r>
              <w:t>Arwa Developments 44%, Emirates Logistics City 25%</w:t>
            </w:r>
          </w:p>
        </w:tc>
      </w:tr>
      <w:tr>
        <w:tc>
          <w:tcPr>
            <w:tcW w:type="dxa" w:w="4320"/>
          </w:tcPr>
          <w:p>
            <w:r>
              <w:t>Working capital</w:t>
            </w:r>
          </w:p>
        </w:tc>
        <w:tc>
          <w:tcPr>
            <w:tcW w:type="dxa" w:w="4320"/>
          </w:tcPr>
          <w:p>
            <w:r>
              <w:t>5.8 (prior year 42.5)</w:t>
            </w:r>
          </w:p>
        </w:tc>
      </w:tr>
      <w:tr>
        <w:tc>
          <w:tcPr>
            <w:tcW w:type="dxa" w:w="4320"/>
          </w:tcPr>
          <w:p>
            <w:r>
              <w:t>Investment property (non-core)</w:t>
            </w:r>
          </w:p>
        </w:tc>
        <w:tc>
          <w:tcPr>
            <w:tcW w:type="dxa" w:w="4320"/>
          </w:tcPr>
          <w:p>
            <w:r>
              <w:t>105.0</w:t>
            </w:r>
          </w:p>
        </w:tc>
      </w:tr>
      <w:tr>
        <w:tc>
          <w:tcPr>
            <w:tcW w:type="dxa" w:w="4320"/>
          </w:tcPr>
          <w:p>
            <w:r>
              <w:t>Retentions on projects completed 2020-24</w:t>
            </w:r>
          </w:p>
        </w:tc>
        <w:tc>
          <w:tcPr>
            <w:tcW w:type="dxa" w:w="4320"/>
          </w:tcPr>
          <w:p>
            <w:r>
              <w:t>79.0, shown as not due</w:t>
            </w:r>
          </w:p>
        </w:tc>
      </w:tr>
      <w:tr>
        <w:tc>
          <w:tcPr>
            <w:tcW w:type="dxa" w:w="4320"/>
          </w:tcPr>
          <w:p>
            <w:r>
              <w:t>Parent related-party dues</w:t>
            </w:r>
          </w:p>
        </w:tc>
        <w:tc>
          <w:tcPr>
            <w:tcW w:type="dxa" w:w="4320"/>
          </w:tcPr>
          <w:p>
            <w:r>
              <w:t>39% of the parent's total assets</w:t>
            </w:r>
          </w:p>
        </w:tc>
      </w:tr>
    </w:tbl>
    <w:p>
      <w:pPr>
        <w:pStyle w:val="Heading1"/>
      </w:pPr>
      <w:r>
        <w:t>4. Business and projects</w:t>
      </w:r>
    </w:p>
    <w:p>
      <w:pPr>
        <w:pStyle w:val="ListBullet"/>
      </w:pPr>
      <w:r>
        <w:t>Project 1: About 23 months past planned completion.</w:t>
      </w:r>
    </w:p>
    <w:p>
      <w:pPr>
        <w:pStyle w:val="ListBullet"/>
      </w:pPr>
      <w:r>
        <w:t>Project 2: No payments since 30 Apr 2026; 4 certified payments (AED 23m) pending; extension of time not formalised.</w:t>
      </w:r>
    </w:p>
    <w:p>
      <w:pPr>
        <w:pStyle w:val="ListBullet"/>
      </w:pPr>
      <w:r>
        <w:t>Project 3: Past completion at 71.7% complete.</w:t>
      </w:r>
    </w:p>
    <w:p>
      <w:r>
        <w:t>Ownership of the group changed recently; the auditor was changed (covenant requires the bank's consent) and the new auditor is not on the approved list. No standalone financials of the UAE branch.</w:t>
      </w:r>
    </w:p>
    <w:p>
      <w:r>
        <w:t>Bureau: 50 returned cheques for insufficient funds at the Dubai affiliate between January and July 2026.</w:t>
      </w:r>
    </w:p>
    <w:p>
      <w:r>
        <w:t>The group obtained AED 1.57bn of new facilities at 3 other banks; facility letters not obtained.</w:t>
      </w:r>
    </w:p>
    <w:p>
      <w:r>
        <w:t>Exceptions: no cash margin; open-ended guarantees in the beneficiary's format; deferred perfection of the corporate guarantee; legal opinion more than 2 years old; performance bond submitted 5 months late.</w:t>
      </w:r>
    </w:p>
    <w:p>
      <w:r>
        <w:t>Stressed cash flow: peak deficit AED 84.6m in month 18; funded lines AED 80m.</w:t>
      </w:r>
    </w:p>
    <w:p>
      <w:r>
        <w:t>Advance payment for the villa project: AED 66.2m.</w:t>
      </w:r>
    </w:p>
    <w:p>
      <w:pPr>
        <w:pStyle w:val="Heading1"/>
      </w:pPr>
      <w:r>
        <w:t>5. Recommendation</w:t>
      </w:r>
    </w:p>
    <w:p>
      <w:r>
        <w:t>Relationship recommendation: Approve all.</w:t>
      </w:r>
    </w:p>
    <w:p>
      <w:r>
        <w:t xml:space="preserve">CRO review: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