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Crescent &amp; Partners, Chartered Accountants</w:t>
      </w:r>
    </w:p>
    <w:p>
      <w:r>
        <w:t>13 October 2026</w:t>
      </w:r>
    </w:p>
    <w:p>
      <w:r>
        <w:t>The Chief Risk Officer</w:t>
      </w:r>
    </w:p>
    <w:p>
      <w:r>
        <w:rPr>
          <w:b/>
        </w:rPr>
        <w:t>REF: CP-AUD-2026-031 (staging of past-due wholesale facilities)</w:t>
      </w:r>
    </w:p>
    <w:p>
      <w:r>
        <w:t>Subject: Statutory audit FY2026: interim procedures</w:t>
      </w:r>
    </w:p>
    <w:p>
      <w:r>
        <w:t>Dear Sir or Madam,</w:t>
      </w:r>
    </w:p>
    <w:p>
      <w:r>
        <w:t>In connection with the above, please provide the following information within ten working days:</w:t>
      </w:r>
    </w:p>
    <w:p>
      <w:r>
        <w:t>1. Provide the list of wholesale facilities more than 30 days past due at the latest quarter-end that remain in Stage 1, with exposure, days past due and ECL.</w:t>
      </w:r>
    </w:p>
    <w:p>
      <w:r>
        <w:t>2. For each, provide the rebuttal of the 30 days past due presumption (CBUAE CRM Art 7.8) and the evidence relied upon.</w:t>
      </w:r>
    </w:p>
    <w:p>
      <w:r>
        <w:t>3. Confirm that each rebuttal was approved by both the CCO and the CRO as required by Art 7.10, and identify any missing sign-offs.</w:t>
      </w:r>
    </w:p>
    <w:p>
      <w:r>
        <w:t>4. Quantify the ECL impact had these facilities been transferred to Stage 2.</w:t>
      </w:r>
    </w:p>
    <w:p>
      <w:r>
        <w:t>Please provide supporting schedules in Excel.</w:t>
      </w:r>
    </w:p>
    <w:p>
      <w:r>
        <w:t>Yours faithfully,</w:t>
      </w:r>
    </w:p>
    <w:p>
      <w:r>
        <w:t>Crescent &amp; Partners, Chartered Accountants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