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Central Bank of the UAE, Banking Supervision Department</w:t>
      </w:r>
    </w:p>
    <w:p>
      <w:r>
        <w:t>13 October 2026</w:t>
      </w:r>
    </w:p>
    <w:p>
      <w:r>
        <w:t>The Chief Risk Officer</w:t>
      </w:r>
    </w:p>
    <w:p>
      <w:r>
        <w:rPr>
          <w:b/>
        </w:rPr>
        <w:t>REF: BSD/CRM/2026/118 (Stage 3 provisioning floors)</w:t>
      </w:r>
    </w:p>
    <w:p>
      <w:r>
        <w:t>Subject: Thematic review of credit-impaired exposures</w:t>
      </w:r>
    </w:p>
    <w:p>
      <w:r>
        <w:t>Dear Sir or Madam,</w:t>
      </w:r>
    </w:p>
    <w:p>
      <w:r>
        <w:t>In connection with the above, please provide the following information within ten working days:</w:t>
      </w:r>
    </w:p>
    <w:p>
      <w:r>
        <w:t>1. Provide the top 20 Stage 3 wholesale exposures at the latest quarter-end with exposure, ECL and coverage.</w:t>
      </w:r>
    </w:p>
    <w:p>
      <w:r>
        <w:t>2. Split each exposure between its secured and unsecured portions after haircuts.</w:t>
      </w:r>
    </w:p>
    <w:p>
      <w:r>
        <w:t>3. State the time each exposure has spent in Stage 3.</w:t>
      </w:r>
    </w:p>
    <w:p>
      <w:r>
        <w:t>4. Compare the provision held against the minimum provisioning floors of Art 9.23 and quantify any shortfall.</w:t>
      </w:r>
    </w:p>
    <w:p>
      <w:r>
        <w:t>Please provide supporting schedules in Excel.</w:t>
      </w:r>
    </w:p>
    <w:p>
      <w:r>
        <w:t>Yours faithfully,</w:t>
      </w:r>
    </w:p>
    <w:p>
      <w:r>
        <w:t>Central Bank of the UAE, Banking Supervision Department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