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Crescent &amp; Partners, Chartered Accountants</w:t>
      </w:r>
    </w:p>
    <w:p>
      <w:r>
        <w:t>13 October 2026</w:t>
      </w:r>
    </w:p>
    <w:p>
      <w:r>
        <w:t>The Chief Risk Officer</w:t>
      </w:r>
    </w:p>
    <w:p>
      <w:r>
        <w:rPr>
          <w:b/>
        </w:rPr>
        <w:t>REF: CP-AUD-2026-044 (construction Stage 2 ECL)</w:t>
      </w:r>
    </w:p>
    <w:p>
      <w:r>
        <w:t>Subject: Statutory audit FY2026: ECL movement analysis</w:t>
      </w:r>
    </w:p>
    <w:p>
      <w:r>
        <w:t>Dear Sir or Madam,</w:t>
      </w:r>
    </w:p>
    <w:p>
      <w:r>
        <w:t>In connection with the above, please provide the following information within ten working days:</w:t>
      </w:r>
    </w:p>
    <w:p>
      <w:r>
        <w:t>1. Explain the increase in Stage 2 ECL for the construction sector between the last two quarter-ends.</w:t>
      </w:r>
    </w:p>
    <w:p>
      <w:r>
        <w:t>2. Provide the movement by driver (new business, repayments, stage transfers, PD, LGD, overlays).</w:t>
      </w:r>
    </w:p>
    <w:p>
      <w:r>
        <w:t>3. Identify the ten counterparties contributing most to the increase.</w:t>
      </w:r>
    </w:p>
    <w:p>
      <w:r>
        <w:t>Please provide supporting schedules in Excel.</w:t>
      </w:r>
    </w:p>
    <w:p>
      <w:r>
        <w:t>Yours faithfully,</w:t>
      </w:r>
    </w:p>
    <w:p>
      <w:r>
        <w:t>Crescent &amp; Partners, Chartered Accountants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