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rsidR="005F349B" w:rsidRPr="00A16A43" w:rsidRDefault="005F349B" w:rsidP="005F349B">
      <w:pPr>
        <w:snapToGrid w:val="0"/>
        <w:jc w:val="center"/>
        <w:rPr>
          <w:sz w:val="20"/>
          <w:szCs w:val="16"/>
        </w:rPr>
      </w:pP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r w:rsidR="003E7675" w:rsidRPr="003C49DC">
        <w:rPr>
          <w:rFonts w:ascii="Arial Unicode MS" w:eastAsia="Arial Unicode MS" w:hAnsi="Arial Unicode MS" w:cs="Arial Unicode MS" w:hint="eastAsia"/>
          <w:sz w:val="20"/>
          <w:szCs w:val="20"/>
        </w:rPr>
        <w:t>,</w:t>
      </w:r>
      <w:r w:rsidR="003E7675" w:rsidRPr="003C49DC">
        <w:rPr>
          <w:rFonts w:ascii="Arial Unicode MS" w:eastAsia="Arial Unicode MS" w:hAnsi="Arial Unicode MS" w:cs="Arial Unicode MS"/>
          <w:sz w:val="20"/>
          <w:szCs w:val="20"/>
        </w:rPr>
        <w:t xml:space="preserve"> takano@ic.kanagawa-it.ac.jp</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w:t>
      </w:r>
      <w:bookmarkStart w:id="0" w:name="_GoBack"/>
      <w:bookmarkEnd w:id="0"/>
      <w:r w:rsidR="00C57618" w:rsidRPr="00C57618">
        <w:rPr>
          <w:rFonts w:ascii="ＭＳ 明朝" w:eastAsia="ＭＳ 明朝" w:hAnsi="ＭＳ 明朝" w:hint="eastAsia"/>
          <w:sz w:val="18"/>
        </w:rPr>
        <w:t>，適切に問題生成できるかを評価する．</w:t>
      </w:r>
    </w:p>
    <w:p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rsidR="00524C3E" w:rsidRPr="00524C3E" w:rsidRDefault="00524C3E" w:rsidP="00524C3E"/>
    <w:p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rsidR="002C11E4" w:rsidRPr="00524C3E" w:rsidRDefault="002C11E4" w:rsidP="00F77508">
      <w:pPr>
        <w:pStyle w:val="ab"/>
        <w:snapToGrid w:val="0"/>
        <w:ind w:leftChars="0" w:left="0" w:firstLineChars="100" w:firstLine="210"/>
        <w:rPr>
          <w:rFonts w:ascii="ＭＳ 明朝" w:eastAsia="ＭＳ 明朝" w:hAnsi="ＭＳ 明朝"/>
        </w:rPr>
      </w:pPr>
    </w:p>
    <w:p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566A9DFC" wp14:editId="533BBA04">
            <wp:extent cx="2692400" cy="10350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2400" cy="1035050"/>
                    </a:xfrm>
                    <a:prstGeom prst="rect">
                      <a:avLst/>
                    </a:prstGeom>
                    <a:noFill/>
                    <a:ln>
                      <a:noFill/>
                    </a:ln>
                  </pic:spPr>
                </pic:pic>
              </a:graphicData>
            </a:graphic>
          </wp:inline>
        </w:drawing>
      </w:r>
    </w:p>
    <w:p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256356">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rsidR="003D361E" w:rsidRDefault="003D361E" w:rsidP="00A722D7">
      <w:pPr>
        <w:snapToGrid w:val="0"/>
        <w:rPr>
          <w:rFonts w:ascii="ＭＳ ゴシック" w:eastAsia="ＭＳ ゴシック" w:hAnsi="ＭＳ ゴシック"/>
          <w:sz w:val="20"/>
        </w:rPr>
      </w:pPr>
    </w:p>
    <w:p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Pr>
          <w:rFonts w:ascii="ＭＳ 明朝" w:eastAsia="ＭＳ 明朝" w:hAnsi="ＭＳ 明朝" w:hint="eastAsia"/>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Pr>
          <w:rFonts w:ascii="ＭＳ 明朝" w:eastAsia="ＭＳ 明朝" w:hAnsi="ＭＳ 明朝" w:hint="eastAsia"/>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rsidR="00745AEA" w:rsidRDefault="00745AEA" w:rsidP="001A6B9C">
      <w:pPr>
        <w:snapToGrid w:val="0"/>
        <w:rPr>
          <w:rFonts w:ascii="ＭＳ ゴシック" w:eastAsia="ＭＳ ゴシック" w:hAnsi="ＭＳ ゴシック"/>
          <w:sz w:val="20"/>
        </w:rPr>
      </w:pPr>
    </w:p>
    <w:p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rsidR="001A64BC"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7723EE">
        <w:rPr>
          <w:rFonts w:ascii="ＭＳ 明朝" w:eastAsia="ＭＳ 明朝" w:hAnsi="ＭＳ 明朝"/>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rsidR="001A64BC" w:rsidRDefault="001A64BC" w:rsidP="001A64BC">
      <w:r>
        <w:br w:type="page"/>
      </w:r>
    </w:p>
    <w:p w:rsidR="00F85A8C" w:rsidRPr="00F31BE5" w:rsidRDefault="00F85A8C" w:rsidP="00F31BE5">
      <w:pPr>
        <w:snapToGrid w:val="0"/>
        <w:ind w:firstLineChars="100" w:firstLine="200"/>
        <w:rPr>
          <w:rFonts w:ascii="ＭＳ 明朝" w:eastAsia="ＭＳ 明朝" w:hAnsi="ＭＳ 明朝"/>
          <w:sz w:val="20"/>
          <w:szCs w:val="20"/>
        </w:rPr>
      </w:pPr>
    </w:p>
    <w:p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rsidTr="00F85A8C">
        <w:trPr>
          <w:jc w:val="center"/>
        </w:trPr>
        <w:tc>
          <w:tcPr>
            <w:tcW w:w="1196" w:type="dxa"/>
            <w:tcBorders>
              <w:top w:val="single" w:sz="12" w:space="0" w:color="auto"/>
              <w:bottom w:val="single" w:sz="4" w:space="0" w:color="auto"/>
            </w:tcBorders>
          </w:tcPr>
          <w:p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rsidTr="00F85A8C">
        <w:trPr>
          <w:jc w:val="center"/>
        </w:trPr>
        <w:tc>
          <w:tcPr>
            <w:tcW w:w="1196" w:type="dxa"/>
            <w:tcBorders>
              <w:top w:val="single" w:sz="4" w:space="0" w:color="auto"/>
            </w:tcBorders>
          </w:tcPr>
          <w:p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rsidTr="00F85A8C">
        <w:trPr>
          <w:jc w:val="center"/>
        </w:trPr>
        <w:tc>
          <w:tcPr>
            <w:tcW w:w="1196" w:type="dxa"/>
          </w:tcPr>
          <w:p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rsidTr="00F85A8C">
        <w:trPr>
          <w:jc w:val="center"/>
        </w:trPr>
        <w:tc>
          <w:tcPr>
            <w:tcW w:w="1196" w:type="dxa"/>
          </w:tcPr>
          <w:p w:rsidR="006A600C" w:rsidRPr="00A01345" w:rsidRDefault="00F85A8C" w:rsidP="00C35D45">
            <w:pPr>
              <w:rPr>
                <w:sz w:val="20"/>
              </w:rPr>
            </w:pPr>
            <w:r>
              <w:rPr>
                <w:rFonts w:hint="eastAsia"/>
                <w:sz w:val="20"/>
              </w:rPr>
              <w:t>G</w:t>
            </w:r>
            <w:r w:rsidR="006A600C" w:rsidRPr="00A01345">
              <w:rPr>
                <w:rFonts w:hint="eastAsia"/>
                <w:sz w:val="20"/>
              </w:rPr>
              <w:t>３</w:t>
            </w:r>
          </w:p>
        </w:tc>
        <w:tc>
          <w:tcPr>
            <w:tcW w:w="2157" w:type="dxa"/>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 'continue'</w:t>
            </w:r>
          </w:p>
        </w:tc>
      </w:tr>
    </w:tbl>
    <w:p w:rsidR="007723EE" w:rsidRDefault="007723EE" w:rsidP="007723EE">
      <w:pPr>
        <w:pStyle w:val="ab"/>
        <w:ind w:leftChars="0" w:left="420"/>
        <w:rPr>
          <w:rFonts w:ascii="ＭＳ ゴシック" w:eastAsia="ＭＳ ゴシック" w:hAnsi="ＭＳ ゴシック"/>
          <w:sz w:val="22"/>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463BA6" w:rsidRPr="007723EE" w:rsidRDefault="00F85A8C"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できるかを評価する．表1に評価</w:t>
      </w:r>
      <w:r w:rsidR="00F65AFD"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を示す．</w:t>
      </w:r>
      <w:r w:rsidR="00091829" w:rsidRPr="007723EE">
        <w:rPr>
          <w:rFonts w:ascii="ＭＳ 明朝" w:eastAsia="ＭＳ 明朝" w:hAnsi="ＭＳ 明朝" w:hint="eastAsia"/>
          <w:sz w:val="20"/>
          <w:szCs w:val="20"/>
        </w:rPr>
        <w:t>実験に利用した問題数は，全体で3</w:t>
      </w:r>
      <w:r w:rsidR="00091829" w:rsidRPr="007723EE">
        <w:rPr>
          <w:rFonts w:ascii="ＭＳ 明朝" w:eastAsia="ＭＳ 明朝" w:hAnsi="ＭＳ 明朝"/>
          <w:sz w:val="20"/>
          <w:szCs w:val="20"/>
        </w:rPr>
        <w:t>54</w:t>
      </w:r>
      <w:r w:rsidR="00091829" w:rsidRPr="007723EE">
        <w:rPr>
          <w:rFonts w:ascii="ＭＳ 明朝" w:eastAsia="ＭＳ 明朝" w:hAnsi="ＭＳ 明朝" w:hint="eastAsia"/>
          <w:sz w:val="20"/>
          <w:szCs w:val="20"/>
        </w:rPr>
        <w:t>問である．難易度は，簡単な問題と難しい問題が8</w:t>
      </w:r>
      <w:r w:rsidR="00091829" w:rsidRPr="007723EE">
        <w:rPr>
          <w:rFonts w:ascii="ＭＳ 明朝" w:eastAsia="ＭＳ 明朝" w:hAnsi="ＭＳ 明朝"/>
          <w:sz w:val="20"/>
          <w:szCs w:val="20"/>
        </w:rPr>
        <w:t>9</w:t>
      </w:r>
      <w:r w:rsidR="00091829" w:rsidRPr="007723EE">
        <w:rPr>
          <w:rFonts w:ascii="ＭＳ 明朝" w:eastAsia="ＭＳ 明朝" w:hAnsi="ＭＳ 明朝" w:hint="eastAsia"/>
          <w:sz w:val="20"/>
          <w:szCs w:val="20"/>
        </w:rPr>
        <w:t>問ずつ，普通の問題が1</w:t>
      </w:r>
      <w:r w:rsidR="00091829" w:rsidRPr="007723EE">
        <w:rPr>
          <w:rFonts w:ascii="ＭＳ 明朝" w:eastAsia="ＭＳ 明朝" w:hAnsi="ＭＳ 明朝"/>
          <w:sz w:val="20"/>
          <w:szCs w:val="20"/>
        </w:rPr>
        <w:t>76</w:t>
      </w:r>
      <w:r w:rsidR="00091829" w:rsidRPr="007723EE">
        <w:rPr>
          <w:rFonts w:ascii="ＭＳ 明朝" w:eastAsia="ＭＳ 明朝" w:hAnsi="ＭＳ 明朝" w:hint="eastAsia"/>
          <w:sz w:val="20"/>
          <w:szCs w:val="20"/>
        </w:rPr>
        <w:t>問である．</w:t>
      </w:r>
    </w:p>
    <w:p w:rsidR="007723EE" w:rsidRPr="007723EE"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表1の評価基準で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7723EE">
        <w:rPr>
          <w:rFonts w:ascii="ＭＳ 明朝" w:eastAsia="ＭＳ 明朝" w:hAnsi="ＭＳ 明朝"/>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図2で，</w:t>
      </w:r>
      <w:r w:rsidR="00F5289A"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7723EE">
        <w:rPr>
          <w:rFonts w:ascii="ＭＳ 明朝" w:eastAsia="ＭＳ 明朝" w:hAnsi="ＭＳ 明朝" w:hint="eastAsia"/>
          <w:sz w:val="20"/>
          <w:szCs w:val="20"/>
        </w:rPr>
        <w:t>3と</w:t>
      </w:r>
      <w:r w:rsidR="0043070F" w:rsidRPr="007723EE">
        <w:rPr>
          <w:rFonts w:ascii="ＭＳ 明朝" w:eastAsia="ＭＳ 明朝" w:hAnsi="ＭＳ 明朝" w:hint="eastAsia"/>
          <w:sz w:val="20"/>
          <w:szCs w:val="20"/>
        </w:rPr>
        <w:t>図</w:t>
      </w:r>
      <w:r w:rsidRPr="007723EE">
        <w:rPr>
          <w:rFonts w:ascii="ＭＳ 明朝" w:eastAsia="ＭＳ 明朝" w:hAnsi="ＭＳ 明朝" w:hint="eastAsia"/>
          <w:sz w:val="20"/>
          <w:szCs w:val="20"/>
        </w:rPr>
        <w:t>4</w:t>
      </w:r>
      <w:r w:rsidR="0043070F" w:rsidRPr="007723EE">
        <w:rPr>
          <w:rFonts w:ascii="ＭＳ 明朝" w:eastAsia="ＭＳ 明朝" w:hAnsi="ＭＳ 明朝" w:hint="eastAsia"/>
          <w:sz w:val="20"/>
          <w:szCs w:val="20"/>
        </w:rPr>
        <w:t>に示す．図</w:t>
      </w:r>
      <w:r w:rsidRPr="007723EE">
        <w:rPr>
          <w:rFonts w:ascii="ＭＳ 明朝" w:eastAsia="ＭＳ 明朝" w:hAnsi="ＭＳ 明朝" w:hint="eastAsia"/>
          <w:sz w:val="20"/>
          <w:szCs w:val="20"/>
        </w:rPr>
        <w:t>3</w:t>
      </w:r>
      <w:r w:rsidR="0043070F" w:rsidRPr="007723EE">
        <w:rPr>
          <w:rFonts w:ascii="ＭＳ 明朝" w:eastAsia="ＭＳ 明朝" w:hAnsi="ＭＳ 明朝" w:hint="eastAsia"/>
          <w:sz w:val="20"/>
          <w:szCs w:val="20"/>
        </w:rPr>
        <w:t>は同じ要素からなる問題の生成例，図</w:t>
      </w:r>
      <w:r w:rsidRPr="007723EE">
        <w:rPr>
          <w:rFonts w:ascii="ＭＳ 明朝" w:eastAsia="ＭＳ 明朝" w:hAnsi="ＭＳ 明朝"/>
          <w:sz w:val="20"/>
          <w:szCs w:val="20"/>
        </w:rPr>
        <w:t>4</w:t>
      </w:r>
      <w:r w:rsidR="0043070F" w:rsidRPr="007723EE">
        <w:rPr>
          <w:rFonts w:ascii="ＭＳ 明朝" w:eastAsia="ＭＳ 明朝" w:hAnsi="ＭＳ 明朝" w:hint="eastAsia"/>
          <w:sz w:val="20"/>
          <w:szCs w:val="20"/>
        </w:rPr>
        <w:t>は異なる要素からなる問題の生成例である．</w:t>
      </w:r>
    </w:p>
    <w:p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図2の評価，および図3と図4の生成例より，異なるグループの要素を組み合わせることで，ワンパターンの出題にならないように難易度を調整して穴埋め選択肢問題を生成できることが確認できる．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256356">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rsidTr="00632037">
        <w:trPr>
          <w:trHeight w:val="216"/>
        </w:trPr>
        <w:tc>
          <w:tcPr>
            <w:tcW w:w="278"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632037">
        <w:trPr>
          <w:trHeight w:val="216"/>
        </w:trPr>
        <w:tc>
          <w:tcPr>
            <w:tcW w:w="278" w:type="dxa"/>
            <w:tcBorders>
              <w:top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360"/>
        </w:trPr>
        <w:tc>
          <w:tcPr>
            <w:tcW w:w="278" w:type="dxa"/>
            <w:vMerge w:val="restart"/>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632037">
        <w:trPr>
          <w:trHeight w:val="360"/>
        </w:trPr>
        <w:tc>
          <w:tcPr>
            <w:tcW w:w="278" w:type="dxa"/>
            <w:vMerge/>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CF27F4">
      <w:pPr>
        <w:pStyle w:val="ac"/>
        <w:keepNext/>
        <w:snapToGrid w:val="0"/>
        <w:rPr>
          <w:rFonts w:ascii="ＭＳ 明朝" w:hAnsi="ＭＳ 明朝"/>
          <w:sz w:val="20"/>
        </w:rPr>
      </w:pPr>
    </w:p>
    <w:p w:rsidR="00C070E7" w:rsidRDefault="00C070E7" w:rsidP="00C070E7">
      <w:pPr>
        <w:pStyle w:val="ac"/>
        <w:keepNext/>
        <w:snapToGrid w:val="0"/>
      </w:pPr>
      <w:r>
        <w:rPr>
          <w:noProof/>
        </w:rPr>
        <w:drawing>
          <wp:inline distT="0" distB="0" distL="0" distR="0" wp14:anchorId="57E2C7E7" wp14:editId="6C563D30">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rsidR="00D2248A" w:rsidRPr="00D2248A" w:rsidRDefault="00D2248A" w:rsidP="00D2248A">
      <w:pPr>
        <w:snapToGrid w:val="0"/>
        <w:rPr>
          <w:rFonts w:ascii="ＭＳ ゴシック" w:eastAsia="ＭＳ ゴシック" w:hAnsi="ＭＳ ゴシック"/>
          <w:sz w:val="22"/>
        </w:rPr>
      </w:pPr>
    </w:p>
    <w:p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w:t>
      </w:r>
      <w:r w:rsidR="00D2248A">
        <w:rPr>
          <w:rFonts w:ascii="ＭＳ 明朝" w:eastAsia="ＭＳ 明朝" w:hAnsi="ＭＳ 明朝" w:hint="eastAsia"/>
          <w:sz w:val="20"/>
          <w:szCs w:val="20"/>
        </w:rPr>
        <w:t>実現する見込みを得ることができた</w:t>
      </w:r>
      <w:r w:rsidR="00D2248A" w:rsidRPr="007723EE">
        <w:rPr>
          <w:rFonts w:ascii="ＭＳ 明朝" w:eastAsia="ＭＳ 明朝" w:hAnsi="ＭＳ 明朝" w:hint="eastAsia"/>
          <w:sz w:val="20"/>
          <w:szCs w:val="20"/>
        </w:rPr>
        <w:t>．</w:t>
      </w:r>
    </w:p>
    <w:p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rsidR="005D3BFE" w:rsidRPr="00D2248A" w:rsidRDefault="005D3BFE" w:rsidP="00D2248A"/>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rsidR="00F77508" w:rsidRPr="00F77508" w:rsidRDefault="00F77508" w:rsidP="00F77508">
      <w:pPr>
        <w:snapToGrid w:val="0"/>
        <w:rPr>
          <w:sz w:val="20"/>
        </w:rPr>
      </w:pPr>
    </w:p>
    <w:p w:rsidR="00EC2213" w:rsidRDefault="00EC2213" w:rsidP="00F77508">
      <w:pPr>
        <w:keepNext/>
        <w:snapToGrid w:val="0"/>
      </w:pPr>
      <w:r w:rsidRPr="00EC2213">
        <w:rPr>
          <w:noProof/>
        </w:rPr>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rsidR="002E2454" w:rsidRDefault="002E2454" w:rsidP="008E553A">
      <w:pPr>
        <w:jc w:val="center"/>
        <w:rPr>
          <w:rFonts w:ascii="ＭＳ ゴシック" w:eastAsia="ＭＳ ゴシック" w:hAnsi="ＭＳ ゴシック"/>
        </w:rPr>
      </w:pPr>
    </w:p>
    <w:p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sectPr w:rsidR="00F5289A" w:rsidRPr="008E553A"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055" w:rsidRDefault="00326055" w:rsidP="00F54770">
      <w:r>
        <w:separator/>
      </w:r>
    </w:p>
  </w:endnote>
  <w:endnote w:type="continuationSeparator" w:id="0">
    <w:p w:rsidR="00326055" w:rsidRDefault="00326055"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055" w:rsidRDefault="00326055" w:rsidP="00F54770">
      <w:r>
        <w:separator/>
      </w:r>
    </w:p>
  </w:footnote>
  <w:footnote w:type="continuationSeparator" w:id="0">
    <w:p w:rsidR="00326055" w:rsidRDefault="00326055"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72275"/>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2071E5"/>
    <w:rsid w:val="0021217C"/>
    <w:rsid w:val="00214364"/>
    <w:rsid w:val="00224666"/>
    <w:rsid w:val="00241C87"/>
    <w:rsid w:val="002539BA"/>
    <w:rsid w:val="00256356"/>
    <w:rsid w:val="002646CC"/>
    <w:rsid w:val="002C11E4"/>
    <w:rsid w:val="002E2454"/>
    <w:rsid w:val="002F705A"/>
    <w:rsid w:val="00326055"/>
    <w:rsid w:val="003C49DC"/>
    <w:rsid w:val="003D361E"/>
    <w:rsid w:val="003E7675"/>
    <w:rsid w:val="00403379"/>
    <w:rsid w:val="00423847"/>
    <w:rsid w:val="0043070F"/>
    <w:rsid w:val="00446390"/>
    <w:rsid w:val="00463BA6"/>
    <w:rsid w:val="00480422"/>
    <w:rsid w:val="004F299B"/>
    <w:rsid w:val="005075A1"/>
    <w:rsid w:val="00516050"/>
    <w:rsid w:val="0052111E"/>
    <w:rsid w:val="00524C3E"/>
    <w:rsid w:val="00543CD3"/>
    <w:rsid w:val="00554C10"/>
    <w:rsid w:val="005949D8"/>
    <w:rsid w:val="005D1F96"/>
    <w:rsid w:val="005D3BFE"/>
    <w:rsid w:val="005F349B"/>
    <w:rsid w:val="006155EB"/>
    <w:rsid w:val="00626302"/>
    <w:rsid w:val="00632037"/>
    <w:rsid w:val="00653111"/>
    <w:rsid w:val="00653F7F"/>
    <w:rsid w:val="00680372"/>
    <w:rsid w:val="00691071"/>
    <w:rsid w:val="006949C4"/>
    <w:rsid w:val="00697270"/>
    <w:rsid w:val="006A600C"/>
    <w:rsid w:val="006C0E82"/>
    <w:rsid w:val="006E4499"/>
    <w:rsid w:val="006F5B81"/>
    <w:rsid w:val="00726994"/>
    <w:rsid w:val="00730218"/>
    <w:rsid w:val="00745AEA"/>
    <w:rsid w:val="007723EE"/>
    <w:rsid w:val="007B7800"/>
    <w:rsid w:val="007D2C07"/>
    <w:rsid w:val="007D359B"/>
    <w:rsid w:val="007D7931"/>
    <w:rsid w:val="007E5575"/>
    <w:rsid w:val="007F75CB"/>
    <w:rsid w:val="0081405C"/>
    <w:rsid w:val="00835A51"/>
    <w:rsid w:val="0087535A"/>
    <w:rsid w:val="008B4914"/>
    <w:rsid w:val="008E553A"/>
    <w:rsid w:val="008F0325"/>
    <w:rsid w:val="009005F6"/>
    <w:rsid w:val="00931D48"/>
    <w:rsid w:val="009337AE"/>
    <w:rsid w:val="00935112"/>
    <w:rsid w:val="0093733F"/>
    <w:rsid w:val="00983E09"/>
    <w:rsid w:val="00983FF2"/>
    <w:rsid w:val="00993AE2"/>
    <w:rsid w:val="00993AFE"/>
    <w:rsid w:val="009A7815"/>
    <w:rsid w:val="009F29BC"/>
    <w:rsid w:val="00A01345"/>
    <w:rsid w:val="00A01FA7"/>
    <w:rsid w:val="00A14D07"/>
    <w:rsid w:val="00A16A43"/>
    <w:rsid w:val="00A722D7"/>
    <w:rsid w:val="00AB24D2"/>
    <w:rsid w:val="00AB3FD3"/>
    <w:rsid w:val="00AB5DBD"/>
    <w:rsid w:val="00AC7396"/>
    <w:rsid w:val="00AE433E"/>
    <w:rsid w:val="00AF3271"/>
    <w:rsid w:val="00B25574"/>
    <w:rsid w:val="00BA47B2"/>
    <w:rsid w:val="00BB1B60"/>
    <w:rsid w:val="00BF6722"/>
    <w:rsid w:val="00C0230D"/>
    <w:rsid w:val="00C070E7"/>
    <w:rsid w:val="00C44959"/>
    <w:rsid w:val="00C54BB3"/>
    <w:rsid w:val="00C57618"/>
    <w:rsid w:val="00C82F9D"/>
    <w:rsid w:val="00CF27F4"/>
    <w:rsid w:val="00D15841"/>
    <w:rsid w:val="00D2248A"/>
    <w:rsid w:val="00D22824"/>
    <w:rsid w:val="00D43D3B"/>
    <w:rsid w:val="00D55D65"/>
    <w:rsid w:val="00D567F0"/>
    <w:rsid w:val="00E034B9"/>
    <w:rsid w:val="00E1130A"/>
    <w:rsid w:val="00E30068"/>
    <w:rsid w:val="00E646C0"/>
    <w:rsid w:val="00E9008D"/>
    <w:rsid w:val="00EC2213"/>
    <w:rsid w:val="00EE13FF"/>
    <w:rsid w:val="00EF7D80"/>
    <w:rsid w:val="00F03F5E"/>
    <w:rsid w:val="00F26AAD"/>
    <w:rsid w:val="00F31BE5"/>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F33986"/>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8EE018A-D078-4E08-96C4-71228580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7</cp:revision>
  <cp:lastPrinted>2022-02-08T12:23:00Z</cp:lastPrinted>
  <dcterms:created xsi:type="dcterms:W3CDTF">2022-02-08T12:11:00Z</dcterms:created>
  <dcterms:modified xsi:type="dcterms:W3CDTF">2022-02-10T09:08:00Z</dcterms:modified>
</cp:coreProperties>
</file>