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0"/>
      </w:pPr>
      <w:r>
        <w:t xml:space="preserve">AMC Theatrical Slate Research Monitor: August 2026–December 2027</w:t>
      </w:r>
    </w:p>
    <w:p>
      <w:pPr>
        <w:spacing w:after="130" w:line="300"/>
      </w:pPr>
      <w:r>
        <w:rPr>
          <w:color w:val="26332D"/>
          <w:sz w:val="20"/>
          <w:szCs w:val="20"/>
        </w:rPr>
        <w:t xml:space="preserve">Company: AMC Entertainment Holdings, Inc. (AMC) Compiled: August 2, 2026 Coverage: Announced North American wide and event-theatrical releases from August 2026 through December 2027 Status: Living research document; release dates and forecasts should be refreshed weekly Purpose: Track the quantity, timing, audience breadth, premium-format potential, and preliminary box-office expectations of films that could affect AMC attendance, admissions revenue, food and beverage revenue, and premium large-format utilization.</w:t>
      </w:r>
    </w:p>
    <w:p>
      <w:pPr>
        <w:pBdr>
          <w:left w:val="single" w:color="C89936" w:sz="12" w:space="8"/>
        </w:pBdr>
        <w:shd w:fill="F4F0E5" w:val="clear"/>
        <w:spacing w:after="180" w:line="300"/>
        <w:ind w:left="180" w:right="180"/>
      </w:pPr>
      <w:r>
        <w:rPr>
          <w:i/>
          <w:iCs/>
          <w:color w:val="5D6D66"/>
          <w:sz w:val="20"/>
          <w:szCs w:val="20"/>
        </w:rPr>
        <w:t xml:space="preserve">This is research and scenario analysis, not investment advice. Film-level ranges beyond published short-term tracking are Learn What You Own research scenarios—not studio guidance or Wall Street consensus. Release dates can move, and box-office outcomes have unusually wide error bands.</w:t>
      </w:r>
    </w:p>
    <w:p>
      <w:pPr>
        <w:pStyle w:val="Heading1"/>
        <w:spacing w:after="120" w:before="280"/>
      </w:pPr>
      <w:r>
        <w:t xml:space="preserve">Executive summary</w:t>
      </w:r>
    </w:p>
    <w:p>
      <w:pPr>
        <w:spacing w:after="130" w:line="300"/>
      </w:pPr>
      <w:r>
        <w:rPr>
          <w:color w:val="26332D"/>
          <w:sz w:val="20"/>
          <w:szCs w:val="20"/>
        </w:rPr>
        <w:t xml:space="preserve">The theatrical backdrop is constructive but not risk-free. Gower Street Analytics revised its 2026 forecast to $34.7 billion global box office and $9.75 billion domestic box office, still implying approximately 3% global and 10% domestic growth over 2025. Through the first half of 2026, domestic box office reached roughly $4.8 billion, 15% ahead of the prior-year period, while a broader mix of films—not only one or two tentpoles—supported the recovery.[1][2]</w:t>
      </w:r>
    </w:p>
    <w:p>
      <w:pPr>
        <w:spacing w:after="130" w:line="300"/>
      </w:pPr>
      <w:r>
        <w:rPr>
          <w:color w:val="26332D"/>
          <w:sz w:val="20"/>
          <w:szCs w:val="20"/>
        </w:rPr>
        <w:t xml:space="preserve">For AMC, the strongest remaining 2026 concentration is the holiday corridor. Avengers: Doomsday, Dune: Part Three, The Hunger Games: Sunrise on the Reaping, Jumanji: Open World, and The Angry Birds Movie 3 provide franchise demand across superhero, science-fiction, young-adult, family, and action audiences.[3] The same calendar also creates collision risk: Avengers: Doomsday and Dune: Part Three are currently dated for the same December 18 weekend, while several family and adult titles cluster around Christmas.[3]</w:t>
      </w:r>
    </w:p>
    <w:p>
      <w:pPr>
        <w:spacing w:after="130" w:line="300"/>
      </w:pPr>
      <w:r>
        <w:rPr>
          <w:color w:val="26332D"/>
          <w:sz w:val="20"/>
          <w:szCs w:val="20"/>
        </w:rPr>
        <w:t xml:space="preserve">The 2027 calendar is earlier-stage and therefore less reliable, but it already contains a strong succession of event titles: Sonic the Hedgehog 4, Godzilla x Kong: Supernova, The Legend of Zelda, Star Wars: Starfighter, How to Train Your Dragon 2, Spider-Man: Beyond the Spider-Verse, Shrek 5, Man of Tomorrow, A Minecraft Movie Squared, Frozen III, Avengers: Secret Wars, and The Lord of the Rings: The Hunt for Gollum.[4] This breadth matters: AMC’s filings identify admissions and food-and-beverage sales as its primary theatrical revenues, while management emphasizes premium large-format investment and reports that attendance and ticket-price growth benefit from 3D, IMAX, and other PLF engagement.[5][6]</w:t>
      </w:r>
    </w:p>
    <w:p>
      <w:pPr>
        <w:spacing w:after="130" w:line="300"/>
      </w:pPr>
      <w:r>
        <w:rPr>
          <w:color w:val="26332D"/>
          <w:sz w:val="20"/>
          <w:szCs w:val="20"/>
        </w:rPr>
        <w:t xml:space="preserve">The key investor conclusion is not simply “more blockbusters.” The value of the slate depends on calendar continuity, film diversity, premium-format availability, and the absence of disruptive date shifts. A full year with repeated commercial releases can support attendance and concessions more reliably than a year dominated by a few isolated hits.</w:t>
      </w:r>
    </w:p>
    <w:p>
      <w:pPr>
        <w:pStyle w:val="Heading1"/>
        <w:spacing w:after="120" w:before="280"/>
      </w:pPr>
      <w:r>
        <w:t xml:space="preserve">How to read the expectations</w:t>
      </w:r>
    </w:p>
    <w:p>
      <w:pPr>
        <w:spacing w:after="130" w:line="300"/>
      </w:pPr>
      <w:r>
        <w:rPr>
          <w:color w:val="26332D"/>
          <w:sz w:val="20"/>
          <w:szCs w:val="20"/>
        </w:rPr>
        <w:t xml:space="preserve">Published industry tracking is used only when a reputable tracker has issued a current range. For films too far from release for credible tracking, this document assigns a preliminary scenario band. The band is an analytical screen—not a prediction.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tcW w:type="dxa" w:w="3600"/>
            <w:shd w:fill="153F32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Scenario band</w:t>
            </w:r>
          </w:p>
        </w:tc>
        <w:tc>
          <w:tcPr>
            <w:tcW w:type="dxa" w:w="3600"/>
            <w:shd w:fill="153F32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Preliminary domestic total</w:t>
            </w:r>
          </w:p>
        </w:tc>
        <w:tc>
          <w:tcPr>
            <w:tcW w:type="dxa" w:w="3600"/>
            <w:shd w:fill="153F32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Preliminary worldwide total</w:t>
            </w:r>
          </w:p>
        </w:tc>
        <w:tc>
          <w:tcPr>
            <w:tcW w:type="dxa" w:w="3600"/>
            <w:shd w:fill="153F32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Interpretation for AMC research</w:t>
            </w:r>
          </w:p>
        </w:tc>
      </w:tr>
      <w:tr>
        <w:trPr>
          <w:tblHeader w:val="false"/>
        </w:trPr>
        <w:tc>
          <w:tcPr>
            <w:tcW w:type="dxa" w:w="36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6332D"/>
                <w:sz w:val="17"/>
                <w:szCs w:val="17"/>
              </w:rPr>
              <w:t xml:space="preserve">Event</w:t>
            </w:r>
          </w:p>
        </w:tc>
        <w:tc>
          <w:tcPr>
            <w:tcW w:type="dxa" w:w="36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6332D"/>
                <w:sz w:val="17"/>
                <w:szCs w:val="17"/>
              </w:rPr>
              <w:t xml:space="preserve">$300M+</w:t>
            </w:r>
          </w:p>
        </w:tc>
        <w:tc>
          <w:tcPr>
            <w:tcW w:type="dxa" w:w="36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6332D"/>
                <w:sz w:val="17"/>
                <w:szCs w:val="17"/>
              </w:rPr>
              <w:t xml:space="preserve">$750M+</w:t>
            </w:r>
          </w:p>
        </w:tc>
        <w:tc>
          <w:tcPr>
            <w:tcW w:type="dxa" w:w="36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6332D"/>
                <w:sz w:val="17"/>
                <w:szCs w:val="17"/>
              </w:rPr>
              <w:t xml:space="preserve">Likely major attendance and PLF driver; high merchandise and concession opportunity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6332D"/>
                <w:sz w:val="17"/>
                <w:szCs w:val="17"/>
              </w:rPr>
              <w:t xml:space="preserve">Major</w:t>
            </w:r>
          </w:p>
        </w:tc>
        <w:tc>
          <w:tcPr>
            <w:tcW w:type="dxa" w:w="36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6332D"/>
                <w:sz w:val="17"/>
                <w:szCs w:val="17"/>
              </w:rPr>
              <w:t xml:space="preserve">$150M–$350M</w:t>
            </w:r>
          </w:p>
        </w:tc>
        <w:tc>
          <w:tcPr>
            <w:tcW w:type="dxa" w:w="36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6332D"/>
                <w:sz w:val="17"/>
                <w:szCs w:val="17"/>
              </w:rPr>
              <w:t xml:space="preserve">$350M–$900M</w:t>
            </w:r>
          </w:p>
        </w:tc>
        <w:tc>
          <w:tcPr>
            <w:tcW w:type="dxa" w:w="36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6332D"/>
                <w:sz w:val="17"/>
                <w:szCs w:val="17"/>
              </w:rPr>
              <w:t xml:space="preserve">Broad commercial draw; meaningful national screen allocation</w:t>
            </w:r>
          </w:p>
        </w:tc>
      </w:tr>
      <w:tr>
        <w:trPr>
          <w:tblHeader w:val="false"/>
        </w:trPr>
        <w:tc>
          <w:tcPr>
            <w:tcW w:type="dxa" w:w="36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6332D"/>
                <w:sz w:val="17"/>
                <w:szCs w:val="17"/>
              </w:rPr>
              <w:t xml:space="preserve">Commercial</w:t>
            </w:r>
          </w:p>
        </w:tc>
        <w:tc>
          <w:tcPr>
            <w:tcW w:type="dxa" w:w="36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6332D"/>
                <w:sz w:val="17"/>
                <w:szCs w:val="17"/>
              </w:rPr>
              <w:t xml:space="preserve">$60M–$175M</w:t>
            </w:r>
          </w:p>
        </w:tc>
        <w:tc>
          <w:tcPr>
            <w:tcW w:type="dxa" w:w="36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6332D"/>
                <w:sz w:val="17"/>
                <w:szCs w:val="17"/>
              </w:rPr>
              <w:t xml:space="preserve">$125M–$450M</w:t>
            </w:r>
          </w:p>
        </w:tc>
        <w:tc>
          <w:tcPr>
            <w:tcW w:type="dxa" w:w="36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6332D"/>
                <w:sz w:val="17"/>
                <w:szCs w:val="17"/>
              </w:rPr>
              <w:t xml:space="preserve">Supports weekly breadth and audience segmentation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6332D"/>
                <w:sz w:val="17"/>
                <w:szCs w:val="17"/>
              </w:rPr>
              <w:t xml:space="preserve">Genre / specialty</w:t>
            </w:r>
          </w:p>
        </w:tc>
        <w:tc>
          <w:tcPr>
            <w:tcW w:type="dxa" w:w="36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6332D"/>
                <w:sz w:val="17"/>
                <w:szCs w:val="17"/>
              </w:rPr>
              <w:t xml:space="preserve">$20M–$100M</w:t>
            </w:r>
          </w:p>
        </w:tc>
        <w:tc>
          <w:tcPr>
            <w:tcW w:type="dxa" w:w="36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6332D"/>
                <w:sz w:val="17"/>
                <w:szCs w:val="17"/>
              </w:rPr>
              <w:t xml:space="preserve">$40M–$250M</w:t>
            </w:r>
          </w:p>
        </w:tc>
        <w:tc>
          <w:tcPr>
            <w:tcW w:type="dxa" w:w="36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6332D"/>
                <w:sz w:val="17"/>
                <w:szCs w:val="17"/>
              </w:rPr>
              <w:t xml:space="preserve">Lower absolute gross but can be profitable and fill off-peak screens</w:t>
            </w:r>
          </w:p>
        </w:tc>
      </w:tr>
      <w:tr>
        <w:trPr>
          <w:tblHeader w:val="false"/>
        </w:trPr>
        <w:tc>
          <w:tcPr>
            <w:tcW w:type="dxa" w:w="36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6332D"/>
                <w:sz w:val="17"/>
                <w:szCs w:val="17"/>
              </w:rPr>
              <w:t xml:space="preserve">Limited event</w:t>
            </w:r>
          </w:p>
        </w:tc>
        <w:tc>
          <w:tcPr>
            <w:tcW w:type="dxa" w:w="36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6332D"/>
                <w:sz w:val="17"/>
                <w:szCs w:val="17"/>
              </w:rPr>
              <w:t xml:space="preserve">Not normalized</w:t>
            </w:r>
          </w:p>
        </w:tc>
        <w:tc>
          <w:tcPr>
            <w:tcW w:type="dxa" w:w="36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6332D"/>
                <w:sz w:val="17"/>
                <w:szCs w:val="17"/>
              </w:rPr>
              <w:t xml:space="preserve">Not normalized</w:t>
            </w:r>
          </w:p>
        </w:tc>
        <w:tc>
          <w:tcPr>
            <w:tcW w:type="dxa" w:w="36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6332D"/>
                <w:sz w:val="17"/>
                <w:szCs w:val="17"/>
              </w:rPr>
              <w:t xml:space="preserve">Engagement value depends on footprint, run length, and ticket premium</w:t>
            </w:r>
          </w:p>
        </w:tc>
      </w:tr>
    </w:tbl>
    <w:p>
      <w:pPr>
        <w:spacing w:after="150"/>
      </w:pPr>
    </w:p>
    <w:p>
      <w:pPr>
        <w:spacing w:after="130" w:line="300"/>
      </w:pPr>
      <w:r>
        <w:rPr>
          <w:color w:val="26332D"/>
          <w:sz w:val="20"/>
          <w:szCs w:val="20"/>
        </w:rPr>
        <w:t xml:space="preserve">Scenario bands are deliberately broad. They should be replaced by published pre-release tracking when available, normally within the final four to eight weeks before release.</w:t>
      </w:r>
    </w:p>
    <w:p>
      <w:pPr>
        <w:pStyle w:val="Heading1"/>
        <w:spacing w:after="120" w:before="280"/>
      </w:pPr>
      <w:r>
        <w:t xml:space="preserve">Near-term published opening-weekend tracking</w:t>
      </w:r>
    </w:p>
    <w:p>
      <w:pPr>
        <w:spacing w:after="130" w:line="300"/>
      </w:pPr>
      <w:r>
        <w:rPr>
          <w:color w:val="26332D"/>
          <w:sz w:val="20"/>
          <w:szCs w:val="20"/>
        </w:rPr>
        <w:t xml:space="preserve">Boxoffice Pro published the following domestic opening-weekend ranges as of July 31, 2026.[7]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fill="153F32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Release</w:t>
            </w:r>
          </w:p>
        </w:tc>
        <w:tc>
          <w:tcPr>
            <w:tcW w:type="dxa" w:w="2880"/>
            <w:shd w:fill="153F32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Film</w:t>
            </w:r>
          </w:p>
        </w:tc>
        <w:tc>
          <w:tcPr>
            <w:tcW w:type="dxa" w:w="2880"/>
            <w:shd w:fill="153F32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Distributor</w:t>
            </w:r>
          </w:p>
        </w:tc>
        <w:tc>
          <w:tcPr>
            <w:tcW w:type="dxa" w:w="2880"/>
            <w:shd w:fill="153F32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Published domestic opening range</w:t>
            </w:r>
          </w:p>
        </w:tc>
        <w:tc>
          <w:tcPr>
            <w:tcW w:type="dxa" w:w="2880"/>
            <w:shd w:fill="153F32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AMC research note</w:t>
            </w:r>
          </w:p>
        </w:tc>
      </w:tr>
      <w:tr>
        <w:trPr>
          <w:tblHeader w:val="false"/>
        </w:trPr>
        <w:tc>
          <w:tcPr>
            <w:tcW w:type="dxa" w:w="288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Aug. 7, 2026</w:t>
            </w:r>
          </w:p>
        </w:tc>
        <w:tc>
          <w:tcPr>
            <w:tcW w:type="dxa" w:w="288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One Night Only</w:t>
            </w:r>
          </w:p>
        </w:tc>
        <w:tc>
          <w:tcPr>
            <w:tcW w:type="dxa" w:w="288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Universal</w:t>
            </w:r>
          </w:p>
        </w:tc>
        <w:tc>
          <w:tcPr>
            <w:tcW w:type="dxa" w:w="288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$7M–$10M</w:t>
            </w:r>
          </w:p>
        </w:tc>
        <w:tc>
          <w:tcPr>
            <w:tcW w:type="dxa" w:w="288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Adult romantic-comedy counterprogramming; potential word-of-mouth legs matter more than opening weekend</w:t>
            </w:r>
          </w:p>
        </w:tc>
      </w:tr>
      <w:tr>
        <w:trPr>
          <w:tblHeader w:val="false"/>
        </w:trPr>
        <w:tc>
          <w:tcPr>
            <w:tcW w:type="dxa" w:w="288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Aug. 7, 2026</w:t>
            </w:r>
          </w:p>
        </w:tc>
        <w:tc>
          <w:tcPr>
            <w:tcW w:type="dxa" w:w="288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Super Troopers 3</w:t>
            </w:r>
          </w:p>
        </w:tc>
        <w:tc>
          <w:tcPr>
            <w:tcW w:type="dxa" w:w="288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Searchlight / Disney</w:t>
            </w:r>
          </w:p>
        </w:tc>
        <w:tc>
          <w:tcPr>
            <w:tcW w:type="dxa" w:w="288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$5M–$8M</w:t>
            </w:r>
          </w:p>
        </w:tc>
        <w:tc>
          <w:tcPr>
            <w:tcW w:type="dxa" w:w="288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Cult-comedy audience; likely modest national impact</w:t>
            </w:r>
          </w:p>
        </w:tc>
      </w:tr>
      <w:tr>
        <w:trPr>
          <w:tblHeader w:val="false"/>
        </w:trPr>
        <w:tc>
          <w:tcPr>
            <w:tcW w:type="dxa" w:w="288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Aug. 14, 2026</w:t>
            </w:r>
          </w:p>
        </w:tc>
        <w:tc>
          <w:tcPr>
            <w:tcW w:type="dxa" w:w="288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The End of Oak Street</w:t>
            </w:r>
          </w:p>
        </w:tc>
        <w:tc>
          <w:tcPr>
            <w:tcW w:type="dxa" w:w="288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Warner Bros.</w:t>
            </w:r>
          </w:p>
        </w:tc>
        <w:tc>
          <w:tcPr>
            <w:tcW w:type="dxa" w:w="288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$15M–$20M</w:t>
            </w:r>
          </w:p>
        </w:tc>
        <w:tc>
          <w:tcPr>
            <w:tcW w:type="dxa" w:w="288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Horror can generate attractive utilization against contained production economics</w:t>
            </w:r>
          </w:p>
        </w:tc>
      </w:tr>
      <w:tr>
        <w:trPr>
          <w:tblHeader w:val="false"/>
        </w:trPr>
        <w:tc>
          <w:tcPr>
            <w:tcW w:type="dxa" w:w="288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Aug. 21, 2026</w:t>
            </w:r>
          </w:p>
        </w:tc>
        <w:tc>
          <w:tcPr>
            <w:tcW w:type="dxa" w:w="288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Insidious: Out of the Further</w:t>
            </w:r>
          </w:p>
        </w:tc>
        <w:tc>
          <w:tcPr>
            <w:tcW w:type="dxa" w:w="288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Sony</w:t>
            </w:r>
          </w:p>
        </w:tc>
        <w:tc>
          <w:tcPr>
            <w:tcW w:type="dxa" w:w="288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$25M–$35M</w:t>
            </w:r>
          </w:p>
        </w:tc>
        <w:tc>
          <w:tcPr>
            <w:tcW w:type="dxa" w:w="288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Strongest currently tracked August opener; established horror franchise</w:t>
            </w:r>
          </w:p>
        </w:tc>
      </w:tr>
      <w:tr>
        <w:trPr>
          <w:tblHeader w:val="false"/>
        </w:trPr>
        <w:tc>
          <w:tcPr>
            <w:tcW w:type="dxa" w:w="288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Aug. 21, 2026</w:t>
            </w:r>
          </w:p>
        </w:tc>
        <w:tc>
          <w:tcPr>
            <w:tcW w:type="dxa" w:w="288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Mutiny</w:t>
            </w:r>
          </w:p>
        </w:tc>
        <w:tc>
          <w:tcPr>
            <w:tcW w:type="dxa" w:w="288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Lionsgate</w:t>
            </w:r>
          </w:p>
        </w:tc>
        <w:tc>
          <w:tcPr>
            <w:tcW w:type="dxa" w:w="288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$8M–$12M</w:t>
            </w:r>
          </w:p>
        </w:tc>
        <w:tc>
          <w:tcPr>
            <w:tcW w:type="dxa" w:w="288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Reliable adult action counterprogramming in a softer corridor</w:t>
            </w:r>
          </w:p>
        </w:tc>
      </w:tr>
    </w:tbl>
    <w:p>
      <w:pPr>
        <w:spacing w:after="150"/>
      </w:pPr>
    </w:p>
    <w:p>
      <w:pPr>
        <w:spacing w:after="130" w:line="300"/>
      </w:pPr>
      <w:r>
        <w:rPr>
          <w:color w:val="26332D"/>
          <w:sz w:val="20"/>
          <w:szCs w:val="20"/>
        </w:rPr>
        <w:t xml:space="preserve">Boxoffice Pro’s rendered tracking table showed an implausibly wide upper bound for PAW Patrol: The Dino Movie; this document excludes that figure rather than reproducing a likely publication or extraction error.[7]</w:t>
      </w:r>
    </w:p>
    <w:p>
      <w:pPr>
        <w:pStyle w:val="Heading1"/>
        <w:spacing w:after="120" w:before="280"/>
      </w:pPr>
      <w:r>
        <w:t xml:space="preserve">Priority release monitor: remainder of 2026</w:t>
      </w:r>
    </w:p>
    <w:p>
      <w:pPr>
        <w:spacing w:after="130" w:line="300"/>
      </w:pPr>
      <w:r>
        <w:rPr>
          <w:color w:val="26332D"/>
          <w:sz w:val="20"/>
          <w:szCs w:val="20"/>
        </w:rPr>
        <w:t xml:space="preserve">Dates below are drawn primarily from Cinema United’s calendar for films expected to open in at least 2,000 North American locations, corroborated against industry release calendars.[3][8]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shd w:fill="153F32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Date</w:t>
            </w:r>
          </w:p>
        </w:tc>
        <w:tc>
          <w:tcPr>
            <w:tcW w:type="dxa" w:w="2400"/>
            <w:shd w:fill="153F32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Film</w:t>
            </w:r>
          </w:p>
        </w:tc>
        <w:tc>
          <w:tcPr>
            <w:tcW w:type="dxa" w:w="2400"/>
            <w:shd w:fill="153F32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Studio</w:t>
            </w:r>
          </w:p>
        </w:tc>
        <w:tc>
          <w:tcPr>
            <w:tcW w:type="dxa" w:w="2400"/>
            <w:shd w:fill="153F32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Expectation</w:t>
            </w:r>
          </w:p>
        </w:tc>
        <w:tc>
          <w:tcPr>
            <w:tcW w:type="dxa" w:w="2400"/>
            <w:shd w:fill="153F32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PLF / attendance relevance</w:t>
            </w:r>
          </w:p>
        </w:tc>
        <w:tc>
          <w:tcPr>
            <w:tcW w:type="dxa" w:w="2400"/>
            <w:shd w:fill="153F32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Main uncertainty</w:t>
            </w:r>
          </w:p>
        </w:tc>
      </w:tr>
      <w:tr>
        <w:trPr>
          <w:tblHeader w:val="false"/>
        </w:trPr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Aug. 14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PAW Patrol: The Dino Movie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Paramount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Commercial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Family attendance and concessions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Franchise ceiling and late-summer timing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Aug. 21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Insidious: Out of the Further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Sony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Published $25M–$35M opening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Horror audience; efficient screen use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Franchise fatigue</w:t>
            </w:r>
          </w:p>
        </w:tc>
      </w:tr>
      <w:tr>
        <w:trPr>
          <w:tblHeader w:val="false"/>
        </w:trPr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Aug. 28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Coyote vs. Acme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Falling Forward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Commercial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Family/nostalgia audience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Distributor scale and marketing reach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Aug. 28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The Dog Stars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20th Century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Commercial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Adult action/drama counterprogramming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Late-summer softness</w:t>
            </w:r>
          </w:p>
        </w:tc>
      </w:tr>
      <w:tr>
        <w:trPr>
          <w:tblHeader w:val="false"/>
        </w:trPr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Sep. 11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Practical Magic 2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Warner Bros.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Commercial–Major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Adult female audience and sequel nostalgia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Long franchise gap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Sep. 18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Resident Evil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Sony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Commercial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Recognizable game/horror IP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Reboot fatigue and reviews</w:t>
            </w:r>
          </w:p>
        </w:tc>
      </w:tr>
      <w:tr>
        <w:trPr>
          <w:tblHeader w:val="false"/>
        </w:trPr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Oct. 2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Verity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Amazon MGM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Commercial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Book-driven adult audience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Adaptation reception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Oct. 9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The Social Reckoning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Sony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Commercial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Adult prestige/commercial crossover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Sequel demand versus streaming wait</w:t>
            </w:r>
          </w:p>
        </w:tc>
      </w:tr>
      <w:tr>
        <w:trPr>
          <w:tblHeader w:val="false"/>
        </w:trPr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Oct. 16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Street Fighter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Paramount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Commercial–Major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Game IP and potential PLF action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Quality and global execution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Oct. 23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Clayface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Warner Bros.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Major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DC brand and PLF potential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Character awareness and tone</w:t>
            </w:r>
          </w:p>
        </w:tc>
      </w:tr>
      <w:tr>
        <w:trPr>
          <w:tblHeader w:val="false"/>
        </w:trPr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Nov. 6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The Cat in the Hat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Warner Bros.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Major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Family and holiday-season runway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Competitive family slate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Nov. 6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Godzilla Minus Zero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GKIDS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Commercial–Major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Event cinema and international fandom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Domestic scale versus specialty roots</w:t>
            </w:r>
          </w:p>
        </w:tc>
      </w:tr>
      <w:tr>
        <w:trPr>
          <w:tblHeader w:val="false"/>
        </w:trPr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Nov. 20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The Hunger Games: Sunrise on the Reaping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Lionsgate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Major–Event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Four-quadrant franchise; strong holiday play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Franchise revival ceiling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Nov. 25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Hexed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Disney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Major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Original animation/family concessions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Original-IP awareness</w:t>
            </w:r>
          </w:p>
        </w:tc>
      </w:tr>
      <w:tr>
        <w:trPr>
          <w:tblHeader w:val="false"/>
        </w:trPr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Nov. 25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Focker-In-Law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Universal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Commercial–Major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Adult comedy and holiday groups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Franchise age and reviews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Dec. 18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Avengers: Doomsday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Disney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Event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Maximum PLF, merchandise, and repeat-viewing potential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Same-day competition and superhero volatility</w:t>
            </w:r>
          </w:p>
        </w:tc>
      </w:tr>
      <w:tr>
        <w:trPr>
          <w:tblHeader w:val="false"/>
        </w:trPr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Dec. 18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Dune: Part Three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Warner Bros.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Event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IMAX/PLF-heavy demand; adult and prestige audience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PLF screen allocation against Avengers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Dec. 23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The Angry Birds Movie 3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Paramount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Major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Family holiday attendance and concessions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Crowded corridor</w:t>
            </w:r>
          </w:p>
        </w:tc>
      </w:tr>
      <w:tr>
        <w:trPr>
          <w:tblHeader w:val="false"/>
        </w:trPr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Dec. 25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Jumanji: Open World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Sony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Event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Broad holiday adventure audience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Competition and sequel fatigue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Dec. 25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Werwulf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Focus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Commercial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Adult/horror counterprogramming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Heavy event-film competition</w:t>
            </w:r>
          </w:p>
        </w:tc>
      </w:tr>
    </w:tbl>
    <w:p>
      <w:pPr>
        <w:spacing w:after="150"/>
      </w:pPr>
    </w:p>
    <w:p>
      <w:pPr>
        <w:pStyle w:val="Heading2"/>
        <w:spacing w:after="120" w:before="280"/>
      </w:pPr>
      <w:r>
        <w:t xml:space="preserve">Remainder-of-2026 calendar breadth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color w:val="26332D"/>
          <w:sz w:val="20"/>
          <w:szCs w:val="20"/>
        </w:rPr>
        <w:t xml:space="preserve">August: One Night Only; Super Troopers 3; The End of Oak Street; PAW Patrol: The Dino Movie; Insidious: Out of the Further; Mutiny; Coyote vs. Acme; The Dog Stars.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color w:val="26332D"/>
          <w:sz w:val="20"/>
          <w:szCs w:val="20"/>
        </w:rPr>
        <w:t xml:space="preserve">September: By Any Means; Onslaught; Practical Magic 2; The Uprising; Resident Evil; Forgotten Island; Heart of the Beast; additional specialty and re-release programming.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color w:val="26332D"/>
          <w:sz w:val="20"/>
          <w:szCs w:val="20"/>
        </w:rPr>
        <w:t xml:space="preserve">October: Digger; Verity; Other Mommy; The Social Reckoning; Whalefall; Street Fighter; Sense and Sensibility; Clayface; Klara and the Sun; additional specialty titles.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color w:val="26332D"/>
          <w:sz w:val="20"/>
          <w:szCs w:val="20"/>
        </w:rPr>
        <w:t xml:space="preserve">November: The Cat in the Hat; Archangel; Godzilla Minus Zero; Ebenezer: A Christmas Carol; How to Rob a Bank; The Hunger Games: Sunrise on the Reaping; Hexed; Focker-In-Law.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color w:val="26332D"/>
          <w:sz w:val="20"/>
          <w:szCs w:val="20"/>
        </w:rPr>
        <w:t xml:space="preserve">December: Violent Night 2; Avengers: Doomsday; Dune: Part Three; The Angry Birds Movie 3; Jumanji: Open World; Werwulf; Mr. Irrelevant.</w:t>
      </w:r>
    </w:p>
    <w:p>
      <w:pPr>
        <w:pStyle w:val="Heading1"/>
        <w:spacing w:after="120" w:before="280"/>
      </w:pPr>
      <w:r>
        <w:t xml:space="preserve">Priority release monitor: 2027</w:t>
      </w:r>
    </w:p>
    <w:p>
      <w:pPr>
        <w:spacing w:after="130" w:line="300"/>
      </w:pPr>
      <w:r>
        <w:rPr>
          <w:color w:val="26332D"/>
          <w:sz w:val="20"/>
          <w:szCs w:val="20"/>
        </w:rPr>
        <w:t xml:space="preserve">The 2027 schedule is based on The Numbers’ North American theatrical calendar and corroborating trade reporting. Every entry should be treated as movable until studio marketing begins.[4][9]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shd w:fill="153F32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Date</w:t>
            </w:r>
          </w:p>
        </w:tc>
        <w:tc>
          <w:tcPr>
            <w:tcW w:type="dxa" w:w="2400"/>
            <w:shd w:fill="153F32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Film</w:t>
            </w:r>
          </w:p>
        </w:tc>
        <w:tc>
          <w:tcPr>
            <w:tcW w:type="dxa" w:w="2400"/>
            <w:shd w:fill="153F32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Studio</w:t>
            </w:r>
          </w:p>
        </w:tc>
        <w:tc>
          <w:tcPr>
            <w:tcW w:type="dxa" w:w="2400"/>
            <w:shd w:fill="153F32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Preliminary expectation</w:t>
            </w:r>
          </w:p>
        </w:tc>
        <w:tc>
          <w:tcPr>
            <w:tcW w:type="dxa" w:w="2400"/>
            <w:shd w:fill="153F32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AMC relevance</w:t>
            </w:r>
          </w:p>
        </w:tc>
        <w:tc>
          <w:tcPr>
            <w:tcW w:type="dxa" w:w="2400"/>
            <w:shd w:fill="153F32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Main uncertainty</w:t>
            </w:r>
          </w:p>
        </w:tc>
      </w:tr>
      <w:tr>
        <w:trPr>
          <w:tblHeader w:val="false"/>
        </w:trPr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Jan. 15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The Beekeeper 2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Amazon MGM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Commercial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Adult action supports an otherwise quiet month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Sequel ceiling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Jan. 15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Children of Blood and Bone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Paramount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Commercial–Major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Young-adult fantasy and possible PLF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New-franchise execution</w:t>
            </w:r>
          </w:p>
        </w:tc>
      </w:tr>
      <w:tr>
        <w:trPr>
          <w:tblHeader w:val="false"/>
        </w:trPr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Feb. 5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Ice Age: Boiling Point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20th Century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Major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Family attendance and concessions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Franchise age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Feb. 12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Narnia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Netflix / IMAX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Limited event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Premium-priced IMAX event and Netflix window experiment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Limited footprint; not a conventional wide run</w:t>
            </w:r>
          </w:p>
        </w:tc>
      </w:tr>
      <w:tr>
        <w:trPr>
          <w:tblHeader w:val="false"/>
        </w:trPr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Mar. 19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Sonic the Hedgehog 4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Paramount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Major–Event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Family, gaming, repeat attendance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Franchise growth versus fatigue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Mar. 26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Godzilla x Kong: Supernova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Warner Bros.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Major–Event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PLF-heavy monster spectacle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Budget and franchise trajectory</w:t>
            </w:r>
          </w:p>
        </w:tc>
      </w:tr>
      <w:tr>
        <w:trPr>
          <w:tblHeader w:val="false"/>
        </w:trPr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Apr. 30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The Legend of Zelda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Sony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Event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Global game IP; high PLF and merchandise potential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First live-action installment execution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May 6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The Resurrection of the Christ: Part One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Lionsgate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Major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Faith audience and group sales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Audience concentration and release strategy</w:t>
            </w:r>
          </w:p>
        </w:tc>
      </w:tr>
      <w:tr>
        <w:trPr>
          <w:tblHeader w:val="false"/>
        </w:trPr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May 28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Star Wars: Starfighter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Disney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Event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Holiday launch and PLF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Recent Star Wars theatrical variability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Jun. 11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How to Train Your Dragon 2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Universal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Major–Event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Family, nostalgia, premium formats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Live-action remake sustainability</w:t>
            </w:r>
          </w:p>
        </w:tc>
      </w:tr>
      <w:tr>
        <w:trPr>
          <w:tblHeader w:val="false"/>
        </w:trPr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Jun. 18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Spider-Man: Beyond the Spider-Verse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Sony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Event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Animation, superhero, PLF, repeat viewing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Production timing and final date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Jun. 30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Shrek 5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Universal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Event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Cross-generational family franchise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Quality and crowded summer</w:t>
            </w:r>
          </w:p>
        </w:tc>
      </w:tr>
      <w:tr>
        <w:trPr>
          <w:tblHeader w:val="false"/>
        </w:trPr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Jul. 9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Man of Tomorrow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Warner Bros.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Event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DC tentpole and PLF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Superhero demand and marketing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Jul. 23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 Minecraft Movie Squared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Warner Bros.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Event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Game/family audience and merchandise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Sequel retention</w:t>
            </w:r>
          </w:p>
        </w:tc>
      </w:tr>
      <w:tr>
        <w:trPr>
          <w:tblHeader w:val="false"/>
        </w:trPr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Jul. 30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 Quiet Place Part III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Paramount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Major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High-recognition horror/thriller franchise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Franchise fatigue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Aug. 6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Bluey The Movie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Disney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Major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Family attendance and concessions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Feature-length conversion and parent demand</w:t>
            </w:r>
          </w:p>
        </w:tc>
      </w:tr>
      <w:tr>
        <w:trPr>
          <w:tblHeader w:val="false"/>
        </w:trPr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Aug. 13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Teenage Mutant Ninja Turtles 2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Paramount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Commercial–Major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Family and IP recognition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Competitive family corridor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Sep. 3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The Simpsons Movie 2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20th Century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Major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Cross-generational event potential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Long gap and audience urgency</w:t>
            </w:r>
          </w:p>
        </w:tc>
      </w:tr>
      <w:tr>
        <w:trPr>
          <w:tblHeader w:val="false"/>
        </w:trPr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Sep. 10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The Conjuring: First Communion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Warner Bros.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Major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Proven horror franchise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Franchise maturity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Oct. 15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The Mummy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Universal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Major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Recognizable adventure/horror brand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Reboot execution</w:t>
            </w:r>
          </w:p>
        </w:tc>
      </w:tr>
      <w:tr>
        <w:trPr>
          <w:tblHeader w:val="false"/>
        </w:trPr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Nov. 19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Gremlins 3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Warner Bros.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Commercial–Major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Holiday nostalgia and genre crossover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Long franchise gap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Nov. 24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Frozen III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Disney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Event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Family attendance, repeat viewing, merchandise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Extremely high expectations</w:t>
            </w:r>
          </w:p>
        </w:tc>
      </w:tr>
      <w:tr>
        <w:trPr>
          <w:tblHeader w:val="false"/>
        </w:trPr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Dec. 17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Avengers: Secret Wars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Disney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Event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Maximum PLF and franchise demand</w:t>
            </w:r>
          </w:p>
        </w:tc>
        <w:tc>
          <w:tcPr>
            <w:tcW w:type="dxa" w:w="24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Superhero health after Doomsday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Dec. 17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The Lord of the Rings: The Hunt for Gollum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Warner Bros.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Event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Global fantasy brand and IMAX potential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26332D"/>
                <w:sz w:val="14"/>
                <w:szCs w:val="14"/>
              </w:rPr>
              <w:t xml:space="preserve">Same-date collision with Avengers</w:t>
            </w:r>
          </w:p>
        </w:tc>
      </w:tr>
    </w:tbl>
    <w:p>
      <w:pPr>
        <w:spacing w:after="150"/>
      </w:pPr>
    </w:p>
    <w:p>
      <w:pPr>
        <w:pStyle w:val="Heading1"/>
        <w:spacing w:after="120" w:before="280"/>
      </w:pPr>
      <w:r>
        <w:t xml:space="preserve">AMC-specific interpretation</w:t>
      </w:r>
    </w:p>
    <w:p>
      <w:pPr>
        <w:pStyle w:val="Heading2"/>
        <w:spacing w:after="120" w:before="280"/>
      </w:pPr>
      <w:r>
        <w:t xml:space="preserve">Why the slate can matter</w:t>
      </w:r>
    </w:p>
    <w:p>
      <w:pPr>
        <w:spacing w:after="130" w:line="300"/>
      </w:pPr>
      <w:r>
        <w:rPr>
          <w:color w:val="26332D"/>
          <w:sz w:val="20"/>
          <w:szCs w:val="20"/>
        </w:rPr>
        <w:t xml:space="preserve">AMC states that its theatrical exhibition revenue is generated primarily from box-office admissions and food-and-beverage sales.[5] Attendance therefore creates two monetization opportunities: the ticket and the in-theatre spend. AMC’s 2025 Form 10-K also describes investment in IMAX, Dolby Cinema, PRIME, and proprietary extra-large formats, and notes that AMC was the largest U.S. IMAX exhibitor by market share at year-end 2025.[5]</w:t>
      </w:r>
    </w:p>
    <w:p>
      <w:pPr>
        <w:spacing w:after="130" w:line="300"/>
      </w:pPr>
      <w:r>
        <w:rPr>
          <w:color w:val="26332D"/>
          <w:sz w:val="20"/>
          <w:szCs w:val="20"/>
        </w:rPr>
        <w:t xml:space="preserve">The May 2026 quarterly filing says higher average ticket price benefited from attendance in 3D, IMAX, and other PLF screens, while attendance increased because of stronger film product.[6] That makes PLF-suitable films particularly relevant—but it does not mean a film’s industry gross translates directly into AMC revenue. AMC’s share depends on its geographic footprint, screen allocation, contractual film-rental terms, pricing, attendance mix, concessions, and foreign exchange.</w:t>
      </w:r>
    </w:p>
    <w:p>
      <w:pPr>
        <w:pStyle w:val="Heading2"/>
        <w:spacing w:after="120" w:before="280"/>
      </w:pPr>
      <w:r>
        <w:t xml:space="preserve">Positive indicators to monitor</w:t>
      </w:r>
    </w:p>
    <w:p>
      <w:pPr>
        <w:pStyle w:val="ListParagraph"/>
        <w:numPr>
          <w:ilvl w:val="0"/>
          <w:numId w:val="3"/>
        </w:numPr>
        <w:spacing w:after="55" w:line="300"/>
      </w:pPr>
      <w:r>
        <w:rPr>
          <w:color w:val="26332D"/>
          <w:sz w:val="20"/>
          <w:szCs w:val="20"/>
        </w:rPr>
        <w:t xml:space="preserve">Calendar stability: fewer release delays and fewer empty weekends.</w:t>
      </w:r>
    </w:p>
    <w:p>
      <w:pPr>
        <w:pStyle w:val="ListParagraph"/>
        <w:numPr>
          <w:ilvl w:val="0"/>
          <w:numId w:val="3"/>
        </w:numPr>
        <w:spacing w:after="55" w:line="300"/>
      </w:pPr>
      <w:r>
        <w:rPr>
          <w:color w:val="26332D"/>
          <w:sz w:val="20"/>
          <w:szCs w:val="20"/>
        </w:rPr>
        <w:t xml:space="preserve">Breadth: several films above $30M monthly contribution, not one isolated blockbuster.</w:t>
      </w:r>
    </w:p>
    <w:p>
      <w:pPr>
        <w:pStyle w:val="ListParagraph"/>
        <w:numPr>
          <w:ilvl w:val="0"/>
          <w:numId w:val="3"/>
        </w:numPr>
        <w:spacing w:after="55" w:line="300"/>
      </w:pPr>
      <w:r>
        <w:rPr>
          <w:color w:val="26332D"/>
          <w:sz w:val="20"/>
          <w:szCs w:val="20"/>
        </w:rPr>
        <w:t xml:space="preserve">PLF utilization: sustained IMAX, Dolby, XL, 3D, and event-screen demand.</w:t>
      </w:r>
    </w:p>
    <w:p>
      <w:pPr>
        <w:pStyle w:val="ListParagraph"/>
        <w:numPr>
          <w:ilvl w:val="0"/>
          <w:numId w:val="3"/>
        </w:numPr>
        <w:spacing w:after="55" w:line="300"/>
      </w:pPr>
      <w:r>
        <w:rPr>
          <w:color w:val="26332D"/>
          <w:sz w:val="20"/>
          <w:szCs w:val="20"/>
        </w:rPr>
        <w:t xml:space="preserve">Family attendance: family films can support group ticket purchases and concessions.</w:t>
      </w:r>
    </w:p>
    <w:p>
      <w:pPr>
        <w:pStyle w:val="ListParagraph"/>
        <w:numPr>
          <w:ilvl w:val="0"/>
          <w:numId w:val="3"/>
        </w:numPr>
        <w:spacing w:after="55" w:line="300"/>
      </w:pPr>
      <w:r>
        <w:rPr>
          <w:color w:val="26332D"/>
          <w:sz w:val="20"/>
          <w:szCs w:val="20"/>
        </w:rPr>
        <w:t xml:space="preserve">Adult counterprogramming: comedies, horror, faith, and prestige releases reduce dependence on superhero and family franchises.</w:t>
      </w:r>
    </w:p>
    <w:p>
      <w:pPr>
        <w:pStyle w:val="ListParagraph"/>
        <w:numPr>
          <w:ilvl w:val="0"/>
          <w:numId w:val="3"/>
        </w:numPr>
        <w:spacing w:after="55" w:line="300"/>
      </w:pPr>
      <w:r>
        <w:rPr>
          <w:color w:val="26332D"/>
          <w:sz w:val="20"/>
          <w:szCs w:val="20"/>
        </w:rPr>
        <w:t xml:space="preserve">Theatrical windows: longer exclusive windows strengthen the value of cinema attendance.</w:t>
      </w:r>
    </w:p>
    <w:p>
      <w:pPr>
        <w:pStyle w:val="ListParagraph"/>
        <w:numPr>
          <w:ilvl w:val="0"/>
          <w:numId w:val="3"/>
        </w:numPr>
        <w:spacing w:after="55" w:line="300"/>
      </w:pPr>
      <w:r>
        <w:rPr>
          <w:color w:val="26332D"/>
          <w:sz w:val="20"/>
          <w:szCs w:val="20"/>
        </w:rPr>
        <w:t xml:space="preserve">International balance: AMC operates in U.S. and European markets; title strength and release timing can differ by territory.</w:t>
      </w:r>
    </w:p>
    <w:p>
      <w:pPr>
        <w:pStyle w:val="Heading2"/>
        <w:spacing w:after="120" w:before="280"/>
      </w:pPr>
      <w:r>
        <w:t xml:space="preserve">Risks and thesis breakers</w:t>
      </w:r>
    </w:p>
    <w:p>
      <w:pPr>
        <w:pStyle w:val="ListParagraph"/>
        <w:numPr>
          <w:ilvl w:val="0"/>
          <w:numId w:val="3"/>
        </w:numPr>
        <w:spacing w:after="55" w:line="300"/>
      </w:pPr>
      <w:r>
        <w:rPr>
          <w:color w:val="26332D"/>
          <w:sz w:val="20"/>
          <w:szCs w:val="20"/>
        </w:rPr>
        <w:t xml:space="preserve">Major 2026 holiday or 2027 tentpoles move out of the calendar.</w:t>
      </w:r>
    </w:p>
    <w:p>
      <w:pPr>
        <w:pStyle w:val="ListParagraph"/>
        <w:numPr>
          <w:ilvl w:val="0"/>
          <w:numId w:val="3"/>
        </w:numPr>
        <w:spacing w:after="55" w:line="300"/>
      </w:pPr>
      <w:r>
        <w:rPr>
          <w:color w:val="26332D"/>
          <w:sz w:val="20"/>
          <w:szCs w:val="20"/>
        </w:rPr>
        <w:t xml:space="preserve">Same-date event films cannibalize PLF screens or force suboptimal allocations.</w:t>
      </w:r>
    </w:p>
    <w:p>
      <w:pPr>
        <w:pStyle w:val="ListParagraph"/>
        <w:numPr>
          <w:ilvl w:val="0"/>
          <w:numId w:val="3"/>
        </w:numPr>
        <w:spacing w:after="55" w:line="300"/>
      </w:pPr>
      <w:r>
        <w:rPr>
          <w:color w:val="26332D"/>
          <w:sz w:val="20"/>
          <w:szCs w:val="20"/>
        </w:rPr>
        <w:t xml:space="preserve">Domestic box office falls materially below the $9.75B 2026 forecast despite a strong slate.</w:t>
      </w:r>
    </w:p>
    <w:p>
      <w:pPr>
        <w:pStyle w:val="ListParagraph"/>
        <w:numPr>
          <w:ilvl w:val="0"/>
          <w:numId w:val="3"/>
        </w:numPr>
        <w:spacing w:after="55" w:line="300"/>
      </w:pPr>
      <w:r>
        <w:rPr>
          <w:color w:val="26332D"/>
          <w:sz w:val="20"/>
          <w:szCs w:val="20"/>
        </w:rPr>
        <w:t xml:space="preserve">Attendance growth does not translate into cash generation because film rent, labor, occupancy, interest, or other costs absorb the benefit.</w:t>
      </w:r>
    </w:p>
    <w:p>
      <w:pPr>
        <w:pStyle w:val="ListParagraph"/>
        <w:numPr>
          <w:ilvl w:val="0"/>
          <w:numId w:val="3"/>
        </w:numPr>
        <w:spacing w:after="55" w:line="300"/>
      </w:pPr>
      <w:r>
        <w:rPr>
          <w:color w:val="26332D"/>
          <w:sz w:val="20"/>
          <w:szCs w:val="20"/>
        </w:rPr>
        <w:t xml:space="preserve">Consumers wait for streaming because theatrical windows shorten.</w:t>
      </w:r>
    </w:p>
    <w:p>
      <w:pPr>
        <w:pStyle w:val="ListParagraph"/>
        <w:numPr>
          <w:ilvl w:val="0"/>
          <w:numId w:val="3"/>
        </w:numPr>
        <w:spacing w:after="55" w:line="300"/>
      </w:pPr>
      <w:r>
        <w:rPr>
          <w:color w:val="26332D"/>
          <w:sz w:val="20"/>
          <w:szCs w:val="20"/>
        </w:rPr>
        <w:t xml:space="preserve">Franchise fatigue lowers openings and weakens repeat attendance.</w:t>
      </w:r>
    </w:p>
    <w:p>
      <w:pPr>
        <w:pStyle w:val="ListParagraph"/>
        <w:numPr>
          <w:ilvl w:val="0"/>
          <w:numId w:val="3"/>
        </w:numPr>
        <w:spacing w:after="55" w:line="300"/>
      </w:pPr>
      <w:r>
        <w:rPr>
          <w:color w:val="26332D"/>
          <w:sz w:val="20"/>
          <w:szCs w:val="20"/>
        </w:rPr>
        <w:t xml:space="preserve">AMC cannot fund or capture the expected return on premium-format investment.</w:t>
      </w:r>
    </w:p>
    <w:p>
      <w:pPr>
        <w:pStyle w:val="Heading1"/>
        <w:spacing w:after="120" w:before="280"/>
      </w:pPr>
      <w:r>
        <w:t xml:space="preserve">Refresh protocol</w:t>
      </w:r>
    </w:p>
    <w:p>
      <w:pPr>
        <w:spacing w:after="130" w:line="300"/>
      </w:pPr>
      <w:r>
        <w:rPr>
          <w:color w:val="26332D"/>
          <w:sz w:val="20"/>
          <w:szCs w:val="20"/>
        </w:rPr>
        <w:t xml:space="preserve">This document should be refreshed every Monday and after major studio-calendar announcements.</w:t>
      </w:r>
    </w:p>
    <w:p>
      <w:pPr>
        <w:pStyle w:val="ListParagraph"/>
        <w:numPr>
          <w:ilvl w:val="0"/>
          <w:numId w:val="3"/>
        </w:numPr>
        <w:spacing w:after="55" w:line="300"/>
      </w:pPr>
      <w:r>
        <w:rPr>
          <w:color w:val="26332D"/>
          <w:sz w:val="20"/>
          <w:szCs w:val="20"/>
        </w:rPr>
        <w:t xml:space="preserve">Pull Cinema United’s wide-release calendar and The Numbers’ current-year/next-year schedule.</w:t>
      </w:r>
    </w:p>
    <w:p>
      <w:pPr>
        <w:pStyle w:val="ListParagraph"/>
        <w:numPr>
          <w:ilvl w:val="0"/>
          <w:numId w:val="3"/>
        </w:numPr>
        <w:spacing w:after="55" w:line="300"/>
      </w:pPr>
      <w:r>
        <w:rPr>
          <w:color w:val="26332D"/>
          <w:sz w:val="20"/>
          <w:szCs w:val="20"/>
        </w:rPr>
        <w:t xml:space="preserve">Compare the new release date, title, distributor, and wide/IMAX status with the previous snapshot.</w:t>
      </w:r>
    </w:p>
    <w:p>
      <w:pPr>
        <w:pStyle w:val="ListParagraph"/>
        <w:numPr>
          <w:ilvl w:val="0"/>
          <w:numId w:val="3"/>
        </w:numPr>
        <w:spacing w:after="55" w:line="300"/>
      </w:pPr>
      <w:r>
        <w:rPr>
          <w:color w:val="26332D"/>
          <w:sz w:val="20"/>
          <w:szCs w:val="20"/>
        </w:rPr>
        <w:t xml:space="preserve">Review Deadline, The Hollywood Reporter, Variety, The Ankler, TheWrap, and official studio announcements for additions, removals, and shifts. Do not bypass paywalls or republish copyrighted article text.</w:t>
      </w:r>
    </w:p>
    <w:p>
      <w:pPr>
        <w:pStyle w:val="ListParagraph"/>
        <w:numPr>
          <w:ilvl w:val="0"/>
          <w:numId w:val="3"/>
        </w:numPr>
        <w:spacing w:after="55" w:line="300"/>
      </w:pPr>
      <w:r>
        <w:rPr>
          <w:color w:val="26332D"/>
          <w:sz w:val="20"/>
          <w:szCs w:val="20"/>
        </w:rPr>
        <w:t xml:space="preserve">Add Boxoffice Pro or other reputable published tracking when a film enters the tracking window.</w:t>
      </w:r>
    </w:p>
    <w:p>
      <w:pPr>
        <w:pStyle w:val="ListParagraph"/>
        <w:numPr>
          <w:ilvl w:val="0"/>
          <w:numId w:val="3"/>
        </w:numPr>
        <w:spacing w:after="55" w:line="300"/>
      </w:pPr>
      <w:r>
        <w:rPr>
          <w:color w:val="26332D"/>
          <w:sz w:val="20"/>
          <w:szCs w:val="20"/>
        </w:rPr>
        <w:t xml:space="preserve">Preserve the publication date of every forecast; never silently replace an old range.</w:t>
      </w:r>
    </w:p>
    <w:p>
      <w:pPr>
        <w:pStyle w:val="ListParagraph"/>
        <w:numPr>
          <w:ilvl w:val="0"/>
          <w:numId w:val="3"/>
        </w:numPr>
        <w:spacing w:after="55" w:line="300"/>
      </w:pPr>
      <w:r>
        <w:rPr>
          <w:color w:val="26332D"/>
          <w:sz w:val="20"/>
          <w:szCs w:val="20"/>
        </w:rPr>
        <w:t xml:space="preserve">Record date changes in a change log so investors can see whether the slate strengthened or weakened.</w:t>
      </w:r>
    </w:p>
    <w:p>
      <w:pPr>
        <w:pStyle w:val="ListParagraph"/>
        <w:numPr>
          <w:ilvl w:val="0"/>
          <w:numId w:val="3"/>
        </w:numPr>
        <w:spacing w:after="55" w:line="300"/>
      </w:pPr>
      <w:r>
        <w:rPr>
          <w:color w:val="26332D"/>
          <w:sz w:val="20"/>
          <w:szCs w:val="20"/>
        </w:rPr>
        <w:t xml:space="preserve">Reassess AMC implications after each quarterly filing and earnings call.</w:t>
      </w:r>
    </w:p>
    <w:p>
      <w:pPr>
        <w:pStyle w:val="Heading2"/>
        <w:spacing w:after="120" w:before="280"/>
      </w:pPr>
      <w:r>
        <w:t xml:space="preserve">Suggested structured fields</w:t>
      </w:r>
    </w:p>
    <w:p>
      <w:pPr>
        <w:spacing w:after="130" w:line="300"/>
      </w:pPr>
      <w:r>
        <w:rPr>
          <w:color w:val="26332D"/>
          <w:sz w:val="20"/>
          <w:szCs w:val="20"/>
        </w:rPr>
        <w:t xml:space="preserve">film_title, release_date, distributor, release_scope, imax_or_plf, genre, audience, published_opening_low, published_opening_high, forecast_source, forecast_date, lwyo_scenario_band, date_confidence, last_verified_at, source_urls, change_note.</w:t>
      </w:r>
    </w:p>
    <w:p>
      <w:pPr>
        <w:pStyle w:val="Heading1"/>
        <w:spacing w:after="120" w:before="280"/>
      </w:pPr>
      <w:r>
        <w:t xml:space="preserve">Gaps and uncertainty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color w:val="26332D"/>
          <w:sz w:val="20"/>
          <w:szCs w:val="20"/>
        </w:rPr>
        <w:t xml:space="preserve">Credible film-level box-office tracking generally does not exist 12–18 months before release. The 2027 expectation bands are scenario classifications, not consensus estimates.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color w:val="26332D"/>
          <w:sz w:val="20"/>
          <w:szCs w:val="20"/>
        </w:rPr>
        <w:t xml:space="preserve">Several 2027 dates are untitled studio placeholders and are excluded from the priority table.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color w:val="26332D"/>
          <w:sz w:val="20"/>
          <w:szCs w:val="20"/>
        </w:rPr>
        <w:t xml:space="preserve">The industry calendars occasionally conflict. Cinema United is preferred for expected 2,000+ North American wide releases; The Numbers adds broader wide, IMAX, limited, and event detail.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color w:val="26332D"/>
          <w:sz w:val="20"/>
          <w:szCs w:val="20"/>
        </w:rPr>
        <w:t xml:space="preserve">The Ankler’s studio slate research is useful context but much of the title-level material is subscriber-only. This document cites only publicly visible descriptions and does not reproduce paywalled content.[10]</w:t>
      </w:r>
    </w:p>
    <w:p>
      <w:pPr>
        <w:pStyle w:val="ListParagraph"/>
        <w:numPr>
          <w:ilvl w:val="0"/>
          <w:numId w:val="2"/>
        </w:numPr>
        <w:spacing w:after="55" w:line="300"/>
      </w:pPr>
      <w:r>
        <w:rPr>
          <w:color w:val="26332D"/>
          <w:sz w:val="20"/>
          <w:szCs w:val="20"/>
        </w:rPr>
        <w:t xml:space="preserve">No public source provides a reliable title-by-title estimate of AMC’s revenue share. Industry gross should not be converted mechanically into AMC revenue.</w:t>
      </w:r>
    </w:p>
    <w:p>
      <w:pPr>
        <w:pStyle w:val="Heading1"/>
        <w:spacing w:after="120" w:before="280"/>
      </w:pPr>
      <w:r>
        <w:t xml:space="preserve">Sources</w:t>
      </w:r>
    </w:p>
    <w:p>
      <w:pPr>
        <w:spacing w:after="130" w:line="300"/>
      </w:pPr>
      <w:r>
        <w:rPr>
          <w:color w:val="26332D"/>
          <w:sz w:val="20"/>
          <w:szCs w:val="20"/>
        </w:rPr>
        <w:t xml:space="preserve">[1] Gower Street Analytics, “Gower Street Revises 2026 Global Box Office Estimate Ahead Of CinemaCon” — </w:t>
      </w:r>
      <w:hyperlink w:history="1" r:id="rIdprtomp_ykjz8alwyjjy7a">
        <w:r>
          <w:rPr>
            <w:color w:val="1F6B52"/>
            <w:sz w:val="18"/>
            <w:szCs w:val="18"/>
            <w:u w:val="single"/>
          </w:rPr>
          <w:t xml:space="preserve">https://gower.st/articles/gower-street-revises-2026-global-box-office-estimate-ahead-cinemacon/</w:t>
        </w:r>
      </w:hyperlink>
      <w:r>
        <w:rPr>
          <w:color w:val="26332D"/>
          <w:sz w:val="20"/>
          <w:szCs w:val="20"/>
        </w:rPr>
        <w:t xml:space="preserve"> [2] Gower Street Analytics, “Keeping the Momentum: 2026 sees Highest Grossing June, Quarter, and First Half this Decade” — </w:t>
      </w:r>
      <w:hyperlink w:history="1" r:id="rId2tylhju735qwg9g18si0f">
        <w:r>
          <w:rPr>
            <w:color w:val="1F6B52"/>
            <w:sz w:val="18"/>
            <w:szCs w:val="18"/>
            <w:u w:val="single"/>
          </w:rPr>
          <w:t xml:space="preserve">https://gower.st/articles/keeping-momentum-2026-sees-highest-grossing-june-quarter-first-half-this-decade-international-domestic-box-office/</w:t>
        </w:r>
      </w:hyperlink>
      <w:r>
        <w:rPr>
          <w:color w:val="26332D"/>
          <w:sz w:val="20"/>
          <w:szCs w:val="20"/>
        </w:rPr>
        <w:t xml:space="preserve"> [3] Cinema United, “Release Calendar” — </w:t>
      </w:r>
      <w:hyperlink w:history="1" r:id="rIdjwv_b3eylyr2hxajsxiqa">
        <w:r>
          <w:rPr>
            <w:color w:val="1F6B52"/>
            <w:sz w:val="18"/>
            <w:szCs w:val="18"/>
            <w:u w:val="single"/>
          </w:rPr>
          <w:t xml:space="preserve">https://cinemaunited.org/release-calendar/</w:t>
        </w:r>
      </w:hyperlink>
      <w:r>
        <w:rPr>
          <w:color w:val="26332D"/>
          <w:sz w:val="20"/>
          <w:szCs w:val="20"/>
        </w:rPr>
        <w:t xml:space="preserve"> [4] The Numbers, “Movie Theatrical Release Schedule for 2027” — </w:t>
      </w:r>
      <w:hyperlink w:history="1" r:id="rIdyxm4efxhmnkhddvhfiiyn">
        <w:r>
          <w:rPr>
            <w:color w:val="1F6B52"/>
            <w:sz w:val="18"/>
            <w:szCs w:val="18"/>
            <w:u w:val="single"/>
          </w:rPr>
          <w:t xml:space="preserve">https://www.the-numbers.com/movies/release-schedule/2027</w:t>
        </w:r>
      </w:hyperlink>
      <w:r>
        <w:rPr>
          <w:color w:val="26332D"/>
          <w:sz w:val="20"/>
          <w:szCs w:val="20"/>
        </w:rPr>
        <w:t xml:space="preserve"> [5] AMC Entertainment Holdings, Inc., 2025 Form 10-K filed February 23, 2026 — </w:t>
      </w:r>
      <w:hyperlink w:history="1" r:id="rIdqwu7pjs1h4vofjcx8t8t5">
        <w:r>
          <w:rPr>
            <w:color w:val="1F6B52"/>
            <w:sz w:val="18"/>
            <w:szCs w:val="18"/>
            <w:u w:val="single"/>
          </w:rPr>
          <w:t xml:space="preserve">https://www.sec.gov/Archives/edgar/data/1411579/000141157926000016/amc-20251231x10k.htm</w:t>
        </w:r>
      </w:hyperlink>
      <w:r>
        <w:rPr>
          <w:color w:val="26332D"/>
          <w:sz w:val="20"/>
          <w:szCs w:val="20"/>
        </w:rPr>
        <w:t xml:space="preserve"> [6] AMC Entertainment Holdings, Inc., Q1 2026 Form 10-Q filed May 5, 2026 — </w:t>
      </w:r>
      <w:hyperlink w:history="1" r:id="rIdwwhtn-vja1eker8qhbp-u">
        <w:r>
          <w:rPr>
            <w:color w:val="1F6B52"/>
            <w:sz w:val="18"/>
            <w:szCs w:val="18"/>
            <w:u w:val="single"/>
          </w:rPr>
          <w:t xml:space="preserve">https://investor.amctheatres.com/sec-filings/all-sec-filings/content/0001411579-26-000051/amc-20260331x10q.htm</w:t>
        </w:r>
      </w:hyperlink>
      <w:r>
        <w:rPr>
          <w:color w:val="26332D"/>
          <w:sz w:val="20"/>
          <w:szCs w:val="20"/>
        </w:rPr>
        <w:t xml:space="preserve"> [7] Boxoffice Pro, “Long Range Forecast: August Rolls On With Insidious: Out of the Further, Mutiny,” July 31, 2026 — </w:t>
      </w:r>
      <w:hyperlink w:history="1" r:id="rIdnkzhz9osoeut-neccup5s">
        <w:r>
          <w:rPr>
            <w:color w:val="1F6B52"/>
            <w:sz w:val="18"/>
            <w:szCs w:val="18"/>
            <w:u w:val="single"/>
          </w:rPr>
          <w:t xml:space="preserve">https://www.boxofficepro.com/long-range-forecast-insidious-out-of-the-further-mutiny/</w:t>
        </w:r>
      </w:hyperlink>
      <w:r>
        <w:rPr>
          <w:color w:val="26332D"/>
          <w:sz w:val="20"/>
          <w:szCs w:val="20"/>
        </w:rPr>
        <w:t xml:space="preserve"> [8] TheWrap, “2026 Movie Release Schedule” — </w:t>
      </w:r>
      <w:hyperlink w:history="1" r:id="rIdtgnhzutyfbqymvanay0vu">
        <w:r>
          <w:rPr>
            <w:color w:val="1F6B52"/>
            <w:sz w:val="18"/>
            <w:szCs w:val="18"/>
            <w:u w:val="single"/>
          </w:rPr>
          <w:t xml:space="preserve">https://www.thewrap.com/creative-content/movies/2026-movie-release-dates-calendar/</w:t>
        </w:r>
      </w:hyperlink>
      <w:r>
        <w:rPr>
          <w:color w:val="26332D"/>
          <w:sz w:val="20"/>
          <w:szCs w:val="20"/>
        </w:rPr>
        <w:t xml:space="preserve"> [9] Variety, release-date reporting archive and current title reports, including 2027 Universal changes — </w:t>
      </w:r>
      <w:hyperlink w:history="1" r:id="rIdaiactgzf9bw69y4q_qyyl">
        <w:r>
          <w:rPr>
            <w:color w:val="1F6B52"/>
            <w:sz w:val="18"/>
            <w:szCs w:val="18"/>
            <w:u w:val="single"/>
          </w:rPr>
          <w:t xml:space="preserve">https://variety.com/</w:t>
        </w:r>
      </w:hyperlink>
      <w:r>
        <w:rPr>
          <w:color w:val="26332D"/>
          <w:sz w:val="20"/>
          <w:szCs w:val="20"/>
        </w:rPr>
        <w:t xml:space="preserve"> [10] The Ankler, “State of Slate Series: Studio-by-Studio” — </w:t>
      </w:r>
      <w:hyperlink w:history="1" r:id="rId5z8jqm_ltvpcc96d9tjsh">
        <w:r>
          <w:rPr>
            <w:color w:val="1F6B52"/>
            <w:sz w:val="18"/>
            <w:szCs w:val="18"/>
            <w:u w:val="single"/>
          </w:rPr>
          <w:t xml:space="preserve">https://theankler.com/p/state-of-slate-series-studios</w:t>
        </w:r>
      </w:hyperlink>
      <w:r>
        <w:rPr>
          <w:color w:val="26332D"/>
          <w:sz w:val="20"/>
          <w:szCs w:val="20"/>
        </w:rPr>
        <w:t xml:space="preserve"> [11] AMC Entertainment, Q1 2026 earnings release, May 5, 2026 — </w:t>
      </w:r>
      <w:hyperlink w:history="1" r:id="rIdqpndl8b1vb1nodj-vrif4">
        <w:r>
          <w:rPr>
            <w:color w:val="1F6B52"/>
            <w:sz w:val="18"/>
            <w:szCs w:val="18"/>
            <w:u w:val="single"/>
          </w:rPr>
          <w:t xml:space="preserve">https://investor.amctheatres.com/sec-filings/all-sec-filings/content/0001411579-26-000049/amc-20260505xex99d1.htm</w:t>
        </w:r>
      </w:hyperlink>
    </w:p>
    <w:p>
      <w:pPr>
        <w:pStyle w:val="Heading1"/>
        <w:spacing w:after="120" w:before="280"/>
      </w:pPr>
      <w:r>
        <w:t xml:space="preserve">Change log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rPr>
          <w:tblHeader/>
        </w:trPr>
        <w:tc>
          <w:tcPr>
            <w:tcW w:type="dxa" w:w="7200"/>
            <w:shd w:fill="153F32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7200"/>
            <w:shd w:fill="153F32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72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6332D"/>
                <w:sz w:val="17"/>
                <w:szCs w:val="17"/>
              </w:rPr>
              <w:t xml:space="preserve">Aug. 2, 2026</w:t>
            </w:r>
          </w:p>
        </w:tc>
        <w:tc>
          <w:tcPr>
            <w:tcW w:type="dxa" w:w="7200"/>
            <w:shd w:fill="F2F6F3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26332D"/>
                <w:sz w:val="17"/>
                <w:szCs w:val="17"/>
              </w:rPr>
              <w:t xml:space="preserve">Initial document compiled; calendars verified; current August Boxoffice Pro tracking added; 2026 market outlook updated with Gower Street revision and first-half actuals.</w:t>
            </w:r>
          </w:p>
        </w:tc>
      </w:tr>
    </w:tbl>
    <w:p>
      <w:pPr>
        <w:spacing w:after="150"/>
      </w:pP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58077"/>
        <w:sz w:val="15"/>
        <w:szCs w:val="15"/>
      </w:rPr>
      <w:t xml:space="preserve">Research compiled August 2, 2026  ·  Page </w:t>
    </w:r>
    <w:r>
      <w:rPr>
        <w:color w:val="658077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8C1" w:sz="4" w:space="6"/>
      </w:pBdr>
    </w:pPr>
    <w:r>
      <w:rPr>
        <w:b/>
        <w:bCs/>
        <w:color w:val="658077"/>
        <w:sz w:val="15"/>
        <w:szCs w:val="15"/>
      </w:rPr>
      <w:t xml:space="preserve">LEARN WHAT YOU OWN  ·  AMC RESEARCH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6332D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  <w:outlineLvl w:val="0"/>
    </w:pPr>
    <w:rPr>
      <w:rFonts w:ascii="Georgia" w:cs="Georgia" w:eastAsia="Georgia" w:hAnsi="Georgia"/>
      <w:b w:val="false"/>
      <w:bCs w:val="false"/>
      <w:color w:val="153F32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20" w:before="260"/>
      <w:outlineLvl w:val="1"/>
    </w:pPr>
    <w:rPr>
      <w:rFonts w:ascii="Georgia" w:cs="Georgia" w:eastAsia="Georgia" w:hAnsi="Georgia"/>
      <w:color w:val="153F3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2"/>
    </w:pPr>
    <w:rPr>
      <w:rFonts w:ascii="Aptos" w:cs="Aptos" w:eastAsia="Aptos" w:hAnsi="Aptos"/>
      <w:b/>
      <w:bCs/>
      <w:color w:val="41688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rtomp_ykjz8alwyjjy7a" Type="http://schemas.openxmlformats.org/officeDocument/2006/relationships/hyperlink" Target="https://gower.st/articles/gower-street-revises-2026-global-box-office-estimate-ahead-cinemacon/" TargetMode="External"/><Relationship Id="rId2tylhju735qwg9g18si0f" Type="http://schemas.openxmlformats.org/officeDocument/2006/relationships/hyperlink" Target="https://gower.st/articles/keeping-momentum-2026-sees-highest-grossing-june-quarter-first-half-this-decade-international-domestic-box-office/" TargetMode="External"/><Relationship Id="rIdjwv_b3eylyr2hxajsxiqa" Type="http://schemas.openxmlformats.org/officeDocument/2006/relationships/hyperlink" Target="https://cinemaunited.org/release-calendar/" TargetMode="External"/><Relationship Id="rIdyxm4efxhmnkhddvhfiiyn" Type="http://schemas.openxmlformats.org/officeDocument/2006/relationships/hyperlink" Target="https://www.the-numbers.com/movies/release-schedule/2027" TargetMode="External"/><Relationship Id="rIdqwu7pjs1h4vofjcx8t8t5" Type="http://schemas.openxmlformats.org/officeDocument/2006/relationships/hyperlink" Target="https://www.sec.gov/Archives/edgar/data/1411579/000141157926000016/amc-20251231x10k.htm" TargetMode="External"/><Relationship Id="rIdwwhtn-vja1eker8qhbp-u" Type="http://schemas.openxmlformats.org/officeDocument/2006/relationships/hyperlink" Target="https://investor.amctheatres.com/sec-filings/all-sec-filings/content/0001411579-26-000051/amc-20260331x10q.htm" TargetMode="External"/><Relationship Id="rIdnkzhz9osoeut-neccup5s" Type="http://schemas.openxmlformats.org/officeDocument/2006/relationships/hyperlink" Target="https://www.boxofficepro.com/long-range-forecast-insidious-out-of-the-further-mutiny/" TargetMode="External"/><Relationship Id="rIdtgnhzutyfbqymvanay0vu" Type="http://schemas.openxmlformats.org/officeDocument/2006/relationships/hyperlink" Target="https://www.thewrap.com/creative-content/movies/2026-movie-release-dates-calendar/" TargetMode="External"/><Relationship Id="rIdaiactgzf9bw69y4q_qyyl" Type="http://schemas.openxmlformats.org/officeDocument/2006/relationships/hyperlink" Target="https://variety.com/" TargetMode="External"/><Relationship Id="rId5z8jqm_ltvpcc96d9tjsh" Type="http://schemas.openxmlformats.org/officeDocument/2006/relationships/hyperlink" Target="https://theankler.com/p/state-of-slate-series-studios" TargetMode="External"/><Relationship Id="rIdqpndl8b1vb1nodj-vrif4" Type="http://schemas.openxmlformats.org/officeDocument/2006/relationships/hyperlink" Target="https://investor.amctheatres.com/sec-filings/all-sec-filings/content/0001411579-26-000049/amc-20260505xex99d1.htm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AMC Theatrical Slate Research Monitor: August 2026–December 2027</dc:title>
  <dc:creator>Learn What You Own</dc:creator>
  <dc:description>Source-linked theatrical release and box-office scenario research for AMC Entertainment.</dc:description>
  <cp:lastModifiedBy>Un-named</cp:lastModifiedBy>
  <cp:revision>1</cp:revision>
  <dcterms:created xsi:type="dcterms:W3CDTF">2026-08-03T02:40:55.688Z</dcterms:created>
  <dcterms:modified xsi:type="dcterms:W3CDTF">2026-08-03T02:40:55.689Z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