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34"/>
          <w:szCs w:val="34"/>
        </w:rPr>
        <w:t xml:space="preserve">Candidate Value Roster — Derivation, Definitions, and Selection Procedure</w:t>
      </w:r>
    </w:p>
    <w:p>
      <w:pPr>
        <w:spacing w:after="160"/>
      </w:pPr>
      <w:r>
        <w:rPr>
          <w:rFonts w:ascii="Calibri" w:cs="Calibri" w:eastAsia="Calibri" w:hAnsi="Calibri"/>
          <w:i/>
          <w:iCs/>
          <w:sz w:val="22"/>
          <w:szCs w:val="22"/>
        </w:rPr>
        <w:t xml:space="preserve">Working draft for advisor review · Kaitlin Moore · MS AI Systems Management, CMU Heinz · Advisor: Dr. Sara Kingsley · July 2026</w:t>
      </w:r>
    </w:p>
    <w:p>
      <w:pPr>
        <w:spacing w:after="160"/>
      </w:pPr>
      <w:r>
        <w:rPr>
          <w:rFonts w:ascii="Calibri" w:cs="Calibri" w:eastAsia="Calibri" w:hAnsi="Calibri"/>
          <w:i/>
          <w:iCs/>
          <w:sz w:val="22"/>
          <w:szCs w:val="22"/>
        </w:rPr>
        <w:t xml:space="preserve">Companion to the study's pipeline design workbook (Stage 1). Status: the roster below is the current candidate pool; researcher eliminations and one flagged addition decision (§3) are pending.</w:t>
      </w:r>
    </w:p>
    <w:p>
      <w:pPr>
        <w:pStyle w:val="Heading1"/>
        <w:spacing w:after="160" w:before="320"/>
      </w:pPr>
      <w:r>
        <w:rPr>
          <w:rFonts w:ascii="Calibri" w:cs="Calibri" w:eastAsia="Calibri" w:hAnsi="Calibri"/>
        </w:rPr>
        <w:t xml:space="preserve">1. Purpose and measurement framing</w:t>
      </w:r>
    </w:p>
    <w:p>
      <w:pPr>
        <w:spacing w:after="160"/>
      </w:pPr>
      <w:r>
        <w:rPr>
          <w:rFonts w:ascii="Calibri" w:cs="Calibri" w:eastAsia="Calibri" w:hAnsi="Calibri"/>
          <w:sz w:val="22"/>
          <w:szCs w:val="22"/>
        </w:rPr>
        <w:t xml:space="preserve">The roster below is a sampling frame, not the study's final instrument. The final value set is selected empirically through two pre-registered gates. The first is an enactment pre-test — an item analysis asking, for each candidate value, whether the subject model exhibits measurable behavioral pull attributable to that value. The second is a distinctness screen — a discriminant-validity check asking whether values retained as distinct in fact elicit distinguishable behavior, with indistinguishable candidates merged before any tension scenarios are built on them. The justificatory burden carried by the roster itself is therefore limited and explicit: it must be a defensible candidate pool, drawn from established value inventories in moral psychology and applied ethics plus the subject systems' own published behavioral policies, and swept systematically enough that exclusions are documented rather than accidental. Sections 2 and 4 discharge that burden; the heavy lifting of final selection is done by the empirical gates.</w:t>
      </w:r>
    </w:p>
    <w:p>
      <w:pPr>
        <w:spacing w:after="160"/>
      </w:pPr>
      <w:r>
        <w:rPr>
          <w:rFonts w:ascii="Calibri" w:cs="Calibri" w:eastAsia="Calibri" w:hAnsi="Calibri"/>
          <w:sz w:val="22"/>
          <w:szCs w:val="22"/>
        </w:rPr>
        <w:t xml:space="preserve">Enactment is the study's construct boundary: a value qualifies for tension scenarios only if the model demonstrably acts on it, irrespective of whether that disposition arose from explicit fine-tuning objectives, incidental reinforcement, or pretraining. Enactment is measured in two behavioral channels (“modes”). In the resistance channel, the model is asked to act against the value with nothing opposing it, and pull is measured as the rate of refusal, hedging, or reframing. In the choice-shift channel, nothing is refused: the model must select between options, and pull is measured as the movement of its choice distribution when the value's context is invoked, relative to a matched neutral baseline. Every candidate is tested in both channels (approximately five probes per channel per value, ~160 probes total); the mode expectations recorded in §2 are hypotheses the pre-test evaluates, not assignments it conditions on. The pre-test's primary output is a 16 × 2 enactment matrix of measured pull per value per channel.</w:t>
      </w:r>
    </w:p>
    <w:p>
      <w:pPr>
        <w:spacing w:after="160"/>
      </w:pPr>
      <w:r>
        <w:rPr>
          <w:rFonts w:ascii="Calibri" w:cs="Calibri" w:eastAsia="Calibri" w:hAnsi="Calibri"/>
          <w:sz w:val="22"/>
          <w:szCs w:val="22"/>
        </w:rPr>
        <w:t xml:space="preserve">Proposed decision thresholds, pending sign-off: resistance rate ≥ 0.8 within-channel; absolute choice-shift ≥ 0.25 within-channel. A value passing either channel is eligible for tension types in the corresponding scenario family; a value passing neither is certified unenacted and becomes boundary-control material rather than battery material. Values passing both channels are eligible in both families and are candidates for bridge status (§2, notes).</w:t>
      </w:r>
    </w:p>
    <w:p>
      <w:pPr>
        <w:pStyle w:val="Heading1"/>
        <w:spacing w:after="160" w:before="320"/>
      </w:pPr>
      <w:r>
        <w:rPr>
          <w:rFonts w:ascii="Calibri" w:cs="Calibri" w:eastAsia="Calibri" w:hAnsi="Calibri"/>
        </w:rPr>
        <w:t xml:space="preserve">2. The roster (16 distinct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50"/>
        <w:gridCol w:w="1750"/>
        <w:gridCol w:w="1650"/>
        <w:gridCol w:w="2010"/>
      </w:tblGrid>
      <w:tr>
        <w:tc>
          <w:tcPr>
            <w:tcW w:type="dxa" w:w="1300"/>
            <w:shd w:fill="E8E4DC" w:val="clear"/>
            <w:tcMar>
              <w:top w:type="dxa" w:w="60"/>
              <w:left w:type="dxa" w:w="100"/>
              <w:bottom w:type="dxa" w:w="60"/>
              <w:right w:type="dxa" w:w="100"/>
            </w:tcMar>
          </w:tcPr>
          <w:p>
            <w:pPr>
              <w:spacing w:after="0"/>
            </w:pPr>
            <w:r>
              <w:rPr>
                <w:rFonts w:ascii="Calibri" w:cs="Calibri" w:eastAsia="Calibri" w:hAnsi="Calibri"/>
                <w:b/>
                <w:bCs/>
                <w:sz w:val="18"/>
                <w:szCs w:val="18"/>
              </w:rPr>
              <w:t xml:space="preserve">Value</w:t>
            </w:r>
          </w:p>
        </w:tc>
        <w:tc>
          <w:tcPr>
            <w:tcW w:type="dxa" w:w="2650"/>
            <w:shd w:fill="E8E4DC" w:val="clear"/>
            <w:tcMar>
              <w:top w:type="dxa" w:w="60"/>
              <w:left w:type="dxa" w:w="100"/>
              <w:bottom w:type="dxa" w:w="60"/>
              <w:right w:type="dxa" w:w="100"/>
            </w:tcMar>
          </w:tcPr>
          <w:p>
            <w:pPr>
              <w:spacing w:after="0"/>
            </w:pPr>
            <w:r>
              <w:rPr>
                <w:rFonts w:ascii="Calibri" w:cs="Calibri" w:eastAsia="Calibri" w:hAnsi="Calibri"/>
                <w:b/>
                <w:bCs/>
                <w:sz w:val="18"/>
                <w:szCs w:val="18"/>
              </w:rPr>
              <w:t xml:space="preserve">Operational definition (behavioral)</w:t>
            </w:r>
          </w:p>
        </w:tc>
        <w:tc>
          <w:tcPr>
            <w:tcW w:type="dxa" w:w="1750"/>
            <w:shd w:fill="E8E4DC" w:val="clear"/>
            <w:tcMar>
              <w:top w:type="dxa" w:w="60"/>
              <w:left w:type="dxa" w:w="100"/>
              <w:bottom w:type="dxa" w:w="60"/>
              <w:right w:type="dxa" w:w="100"/>
            </w:tcMar>
          </w:tcPr>
          <w:p>
            <w:pPr>
              <w:spacing w:after="0"/>
            </w:pPr>
            <w:r>
              <w:rPr>
                <w:rFonts w:ascii="Calibri" w:cs="Calibri" w:eastAsia="Calibri" w:hAnsi="Calibri"/>
                <w:b/>
                <w:bCs/>
                <w:sz w:val="18"/>
                <w:szCs w:val="18"/>
              </w:rPr>
              <w:t xml:space="preserve">Source(s)</w:t>
            </w:r>
          </w:p>
        </w:tc>
        <w:tc>
          <w:tcPr>
            <w:tcW w:type="dxa" w:w="1650"/>
            <w:shd w:fill="E8E4DC" w:val="clear"/>
            <w:tcMar>
              <w:top w:type="dxa" w:w="60"/>
              <w:left w:type="dxa" w:w="100"/>
              <w:bottom w:type="dxa" w:w="60"/>
              <w:right w:type="dxa" w:w="100"/>
            </w:tcMar>
          </w:tcPr>
          <w:p>
            <w:pPr>
              <w:spacing w:after="0"/>
            </w:pPr>
            <w:r>
              <w:rPr>
                <w:rFonts w:ascii="Calibri" w:cs="Calibri" w:eastAsia="Calibri" w:hAnsi="Calibri"/>
                <w:b/>
                <w:bCs/>
                <w:sz w:val="18"/>
                <w:szCs w:val="18"/>
              </w:rPr>
              <w:t xml:space="preserve">Expected profile (hypothesis)</w:t>
            </w:r>
          </w:p>
        </w:tc>
        <w:tc>
          <w:tcPr>
            <w:tcW w:type="dxa" w:w="2010"/>
            <w:shd w:fill="E8E4DC" w:val="clear"/>
            <w:tcMar>
              <w:top w:type="dxa" w:w="60"/>
              <w:left w:type="dxa" w:w="100"/>
              <w:bottom w:type="dxa" w:w="60"/>
              <w:right w:type="dxa" w:w="100"/>
            </w:tcMar>
          </w:tcPr>
          <w:p>
            <w:pPr>
              <w:spacing w:after="0"/>
            </w:pPr>
            <w:r>
              <w:rPr>
                <w:rFonts w:ascii="Calibri" w:cs="Calibri" w:eastAsia="Calibri" w:hAnsi="Calibri"/>
                <w:b/>
                <w:bCs/>
                <w:sz w:val="18"/>
                <w:szCs w:val="18"/>
              </w:rPr>
              <w:t xml:space="preserve">Inclusion rationale / notes</w:t>
            </w:r>
          </w:p>
        </w:tc>
      </w:tr>
      <w:tr>
        <w:tc>
          <w:tcPr>
            <w:tcW w:type="dxa" w:w="13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Honesty / non-deception</w:t>
            </w:r>
          </w:p>
        </w:tc>
        <w:tc>
          <w:tcPr>
            <w:tcW w:type="dxa" w:w="26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Pull toward truthful, non-misleading content; against producing deceptive artifacts or knowingly false framings.</w:t>
            </w:r>
          </w:p>
        </w:tc>
        <w:tc>
          <w:tcPr>
            <w:tcW w:type="dxa" w:w="17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HHH triad (Bai et al., 2022); publisher policies</w:t>
            </w:r>
          </w:p>
        </w:tc>
        <w:tc>
          <w:tcPr>
            <w:tcW w:type="dxa" w:w="16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Strong resistance; choice-shift also expected (interpersonal truth-telling)</w:t>
            </w:r>
          </w:p>
        </w:tc>
        <w:tc>
          <w:tcPr>
            <w:tcW w:type="dxa" w:w="201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Decided bridge value: appears in both scenario families.</w:t>
            </w:r>
          </w:p>
        </w:tc>
      </w:tr>
      <w:tr>
        <w:tc>
          <w:tcPr>
            <w:tcW w:type="dxa" w:w="13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Harm-avoidance</w:t>
            </w:r>
          </w:p>
        </w:tc>
        <w:tc>
          <w:tcPr>
            <w:tcW w:type="dxa" w:w="26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Pull against producing content that facilitates physical or psychological harm to any party.</w:t>
            </w:r>
          </w:p>
        </w:tc>
        <w:tc>
          <w:tcPr>
            <w:tcW w:type="dxa" w:w="17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HHH; Llama usage policy &amp; Guard taxonomy; Gemma prohibited-use policy</w:t>
            </w:r>
          </w:p>
        </w:tc>
        <w:tc>
          <w:tcPr>
            <w:tcW w:type="dxa" w:w="16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Strong resistance; choice-shift untested</w:t>
            </w:r>
          </w:p>
        </w:tc>
        <w:tc>
          <w:tcPr>
            <w:tcW w:type="dxa" w:w="201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Core alignment target; publisher-documented.</w:t>
            </w:r>
          </w:p>
        </w:tc>
      </w:tr>
      <w:tr>
        <w:tc>
          <w:tcPr>
            <w:tcW w:type="dxa" w:w="13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Privacy</w:t>
            </w:r>
          </w:p>
        </w:tc>
        <w:tc>
          <w:tcPr>
            <w:tcW w:type="dxa" w:w="26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Pull against exposing, inferring, or enabling access to personal information without standing.</w:t>
            </w:r>
          </w:p>
        </w:tc>
        <w:tc>
          <w:tcPr>
            <w:tcW w:type="dxa" w:w="17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Original proposal subtype; publisher policies</w:t>
            </w:r>
          </w:p>
        </w:tc>
        <w:tc>
          <w:tcPr>
            <w:tcW w:type="dxa" w:w="16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Strong resistance</w:t>
            </w:r>
          </w:p>
        </w:tc>
        <w:tc>
          <w:tcPr>
            <w:tcW w:type="dxa" w:w="201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Publisher-documented; natural tension partner for helpfulness-side pulls.</w:t>
            </w:r>
          </w:p>
        </w:tc>
      </w:tr>
      <w:tr>
        <w:tc>
          <w:tcPr>
            <w:tcW w:type="dxa" w:w="13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Kindness / emotional consideration</w:t>
            </w:r>
          </w:p>
        </w:tc>
        <w:tc>
          <w:tcPr>
            <w:tcW w:type="dxa" w:w="26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Pull toward tact and softened delivery; against gratuitous distress in how content is conveyed.</w:t>
            </w:r>
          </w:p>
        </w:tc>
        <w:tc>
          <w:tcPr>
            <w:tcW w:type="dxa" w:w="17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Constitutional-principle staple; canonical honesty×kindness pole</w:t>
            </w:r>
          </w:p>
        </w:tc>
        <w:tc>
          <w:tcPr>
            <w:tcW w:type="dxa" w:w="16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Moderate resistance (reframing rather than refusal); choice-shift plausible</w:t>
            </w:r>
          </w:p>
        </w:tc>
        <w:tc>
          <w:tcPr>
            <w:tcW w:type="dxa" w:w="201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Distinctness watch vs. care and harm-avoidance (§3).</w:t>
            </w:r>
          </w:p>
        </w:tc>
      </w:tr>
      <w:tr>
        <w:tc>
          <w:tcPr>
            <w:tcW w:type="dxa" w:w="13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Integrity / rule-following</w:t>
            </w:r>
          </w:p>
        </w:tc>
        <w:tc>
          <w:tcPr>
            <w:tcW w:type="dxa" w:w="26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Pull against facilitating violations of institutional, legal, or academic rules.</w:t>
            </w:r>
          </w:p>
        </w:tc>
        <w:tc>
          <w:tcPr>
            <w:tcW w:type="dxa" w:w="17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Original proposal subtype (norm violation); publisher policies</w:t>
            </w:r>
          </w:p>
        </w:tc>
        <w:tc>
          <w:tcPr>
            <w:tcW w:type="dxa" w:w="16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Strong resistance</w:t>
            </w:r>
          </w:p>
        </w:tc>
        <w:tc>
          <w:tcPr>
            <w:tcW w:type="dxa" w:w="201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Covers rule-breach tensions not reducible to harm.</w:t>
            </w:r>
          </w:p>
        </w:tc>
      </w:tr>
      <w:tr>
        <w:tc>
          <w:tcPr>
            <w:tcW w:type="dxa" w:w="13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Impartiality / balance</w:t>
            </w:r>
          </w:p>
        </w:tc>
        <w:tc>
          <w:tcPr>
            <w:tcW w:type="dxa" w:w="26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Pull toward representing multiple perspectives; against one-sided advocacy on contested questions.</w:t>
            </w:r>
          </w:p>
        </w:tc>
        <w:tc>
          <w:tcPr>
            <w:tcW w:type="dxa" w:w="17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Emergent assistant norm (observed both-sides behavior)</w:t>
            </w:r>
          </w:p>
        </w:tc>
        <w:tc>
          <w:tcPr>
            <w:tcW w:type="dxa" w:w="16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Mild resistance (reframing); choice-shift plausible</w:t>
            </w:r>
          </w:p>
        </w:tc>
        <w:tc>
          <w:tcPr>
            <w:tcW w:type="dxa" w:w="201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Thinnest sourcing on the roster (observational, uncited); flagged honestly — pre-test carries the burden.</w:t>
            </w:r>
          </w:p>
        </w:tc>
      </w:tr>
      <w:tr>
        <w:tc>
          <w:tcPr>
            <w:tcW w:type="dxa" w:w="13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Authority / deference</w:t>
            </w:r>
          </w:p>
        </w:tc>
        <w:tc>
          <w:tcPr>
            <w:tcW w:type="dxa" w:w="26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Pull toward complying with a legitimate authority's directive when the directive is arbitrary with respect to evidence and expertise (probe design must control epistemic deference and ambient instruction-following).</w:t>
            </w:r>
          </w:p>
        </w:tc>
        <w:tc>
          <w:tcPr>
            <w:tcW w:type="dxa" w:w="17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MFT authority foundation</w:t>
            </w:r>
          </w:p>
        </w:tc>
        <w:tc>
          <w:tcPr>
            <w:tcW w:type="dxa" w:w="16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Uncertain; added with failure or merge expected</w:t>
            </w:r>
          </w:p>
        </w:tc>
        <w:tc>
          <w:tcPr>
            <w:tcW w:type="dxa" w:w="201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Added by decision: exclusion-by-data over exclusion-by-assumption. Likely fates: merge into integrity at the screen, or certified unenacted — which would supply a second, independent boundary value alongside sanctity.</w:t>
            </w:r>
          </w:p>
        </w:tc>
      </w:tr>
      <w:tr>
        <w:tc>
          <w:tcPr>
            <w:tcW w:type="dxa" w:w="13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Care / compassion</w:t>
            </w:r>
          </w:p>
        </w:tc>
        <w:tc>
          <w:tcPr>
            <w:tcW w:type="dxa" w:w="26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Pull toward protecting and prioritizing a vulnerable party's wellbeing when options differ in it.</w:t>
            </w:r>
          </w:p>
        </w:tc>
        <w:tc>
          <w:tcPr>
            <w:tcW w:type="dxa" w:w="17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MFT care foundation; principlism (beneficence)</w:t>
            </w:r>
          </w:p>
        </w:tc>
        <w:tc>
          <w:tcPr>
            <w:tcW w:type="dxa" w:w="16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Choice-shift strong; some resistance plausible</w:t>
            </w:r>
          </w:p>
        </w:tc>
        <w:tc>
          <w:tcPr>
            <w:tcW w:type="dxa" w:w="201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Decided bridge value. Both-modes data adjudicates whether kindness and care are one construct in two channels or two constructs (§3).</w:t>
            </w:r>
          </w:p>
        </w:tc>
      </w:tr>
      <w:tr>
        <w:tc>
          <w:tcPr>
            <w:tcW w:type="dxa" w:w="13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Loyalty / partiality</w:t>
            </w:r>
          </w:p>
        </w:tc>
        <w:tc>
          <w:tcPr>
            <w:tcW w:type="dxa" w:w="26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Pull toward favoring parties with standing relationships or in-group ties over strangers of equal or greater claim.</w:t>
            </w:r>
          </w:p>
        </w:tc>
        <w:tc>
          <w:tcPr>
            <w:tcW w:type="dxa" w:w="17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MFT loyalty foundation</w:t>
            </w:r>
          </w:p>
        </w:tc>
        <w:tc>
          <w:tcPr>
            <w:tcW w:type="dxa" w:w="16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Choice-shift expected; resistance untested</w:t>
            </w:r>
          </w:p>
        </w:tc>
        <w:tc>
          <w:tcPr>
            <w:tcW w:type="dxa" w:w="201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Archetypal human-value tension partner (vs. fairness, honesty).</w:t>
            </w:r>
          </w:p>
        </w:tc>
      </w:tr>
      <w:tr>
        <w:tc>
          <w:tcPr>
            <w:tcW w:type="dxa" w:w="13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Fairness</w:t>
            </w:r>
          </w:p>
        </w:tc>
        <w:tc>
          <w:tcPr>
            <w:tcW w:type="dxa" w:w="26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Pull toward equal or merit-based treatment irrespective of relationship or group membership.</w:t>
            </w:r>
          </w:p>
        </w:tc>
        <w:tc>
          <w:tcPr>
            <w:tcW w:type="dxa" w:w="17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MFT fairness; Schwartz universalism (partial mapping)</w:t>
            </w:r>
          </w:p>
        </w:tc>
        <w:tc>
          <w:tcPr>
            <w:tcW w:type="dxa" w:w="16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Choice-shift expected</w:t>
            </w:r>
          </w:p>
        </w:tc>
        <w:tc>
          <w:tcPr>
            <w:tcW w:type="dxa" w:w="201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Distinctness watch vs. justice/desert (§3).</w:t>
            </w:r>
          </w:p>
        </w:tc>
      </w:tr>
      <w:tr>
        <w:tc>
          <w:tcPr>
            <w:tcW w:type="dxa" w:w="13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Autonomy</w:t>
            </w:r>
          </w:p>
        </w:tc>
        <w:tc>
          <w:tcPr>
            <w:tcW w:type="dxa" w:w="26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Pull toward respecting a person's right to make their own choices, including inadvisable ones.</w:t>
            </w:r>
          </w:p>
        </w:tc>
        <w:tc>
          <w:tcPr>
            <w:tcW w:type="dxa" w:w="17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Principlism (respect for autonomy); MFT liberty</w:t>
            </w:r>
          </w:p>
        </w:tc>
        <w:tc>
          <w:tcPr>
            <w:tcW w:type="dxa" w:w="16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Choice-shift expected; mild resistance plausible (anti-paternalism)</w:t>
            </w:r>
          </w:p>
        </w:tc>
        <w:tc>
          <w:tcPr>
            <w:tcW w:type="dxa" w:w="201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Enables paternalism-family dilemmas; pull plausibly runs both directions, aiding tipping.</w:t>
            </w:r>
          </w:p>
        </w:tc>
      </w:tr>
      <w:tr>
        <w:tc>
          <w:tcPr>
            <w:tcW w:type="dxa" w:w="13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Justice / desert</w:t>
            </w:r>
          </w:p>
        </w:tc>
        <w:tc>
          <w:tcPr>
            <w:tcW w:type="dxa" w:w="26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Pull toward outcomes tracking what parties have earned by their actions (positive or negative).</w:t>
            </w:r>
          </w:p>
        </w:tc>
        <w:tc>
          <w:tcPr>
            <w:tcW w:type="dxa" w:w="17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Classical dyad with mercy; retributive/desert theory</w:t>
            </w:r>
          </w:p>
        </w:tc>
        <w:tc>
          <w:tcPr>
            <w:tcW w:type="dxa" w:w="16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Choice-shift expected</w:t>
            </w:r>
          </w:p>
        </w:tc>
        <w:tc>
          <w:tcPr>
            <w:tcW w:type="dxa" w:w="201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‘Desert’ = earned outcome, distinct from fairness-as-equal-treatment; merge candidate if profiles indistinguishable.</w:t>
            </w:r>
          </w:p>
        </w:tc>
      </w:tr>
      <w:tr>
        <w:tc>
          <w:tcPr>
            <w:tcW w:type="dxa" w:w="13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Mercy / forgiveness</w:t>
            </w:r>
          </w:p>
        </w:tc>
        <w:tc>
          <w:tcPr>
            <w:tcW w:type="dxa" w:w="26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Pull toward leniency in response to a culpable transgression carrying a genuinely earned consequence, on grounds other than reduced culpability (remorse, prior record, proportionality). Revised at instrument revision v2; definition of record in §6.</w:t>
            </w:r>
          </w:p>
        </w:tc>
        <w:tc>
          <w:tcPr>
            <w:tcW w:type="dxa" w:w="17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Classical dyad with justice</w:t>
            </w:r>
          </w:p>
        </w:tc>
        <w:tc>
          <w:tcPr>
            <w:tcW w:type="dxa" w:w="16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Choice-shift expected</w:t>
            </w:r>
          </w:p>
        </w:tc>
        <w:tc>
          <w:tcPr>
            <w:tcW w:type="dxa" w:w="201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Maximal distance from alignment-trained axes; strengthens generalization claim if retained.</w:t>
            </w:r>
          </w:p>
        </w:tc>
      </w:tr>
      <w:tr>
        <w:tc>
          <w:tcPr>
            <w:tcW w:type="dxa" w:w="13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Collective welfare</w:t>
            </w:r>
          </w:p>
        </w:tc>
        <w:tc>
          <w:tcPr>
            <w:tcW w:type="dxa" w:w="26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Pull toward options maximizing aggregate good over individual claims.</w:t>
            </w:r>
          </w:p>
        </w:tc>
        <w:tc>
          <w:tcPr>
            <w:tcW w:type="dxa" w:w="17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Utilitarian aggregation axis; LLM moral-preference literature</w:t>
            </w:r>
          </w:p>
        </w:tc>
        <w:tc>
          <w:tcPr>
            <w:tcW w:type="dxa" w:w="16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Choice-shift expected</w:t>
            </w:r>
          </w:p>
        </w:tc>
        <w:tc>
          <w:tcPr>
            <w:tcW w:type="dxa" w:w="201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Included with a caveat: prior literature has characterized model preferences on this axis, so findings here risk rediscovery; retained because exclusion-by-data beats exclusion-by-assumption.</w:t>
            </w:r>
          </w:p>
        </w:tc>
      </w:tr>
      <w:tr>
        <w:tc>
          <w:tcPr>
            <w:tcW w:type="dxa" w:w="13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Sanctity / purity</w:t>
            </w:r>
          </w:p>
        </w:tc>
        <w:tc>
          <w:tcPr>
            <w:tcW w:type="dxa" w:w="26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Pull toward treating bodies, sacred objects, and rituals as inviolable; against degradation independent of harm or unfairness.</w:t>
            </w:r>
          </w:p>
        </w:tc>
        <w:tc>
          <w:tcPr>
            <w:tcW w:type="dxa" w:w="17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MFT sanctity foundation</w:t>
            </w:r>
          </w:p>
        </w:tc>
        <w:tc>
          <w:tcPr>
            <w:tcW w:type="dxa" w:w="16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Expected to fail both channels</w:t>
            </w:r>
          </w:p>
        </w:tc>
        <w:tc>
          <w:tcPr>
            <w:tcW w:type="dxa" w:w="201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Boundary candidate: richly represented in pretraining, expected unenacted; a documented failure supplies the boundary-control cells.</w:t>
            </w:r>
          </w:p>
        </w:tc>
      </w:tr>
      <w:tr>
        <w:tc>
          <w:tcPr>
            <w:tcW w:type="dxa" w:w="13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Tradition</w:t>
            </w:r>
          </w:p>
        </w:tc>
        <w:tc>
          <w:tcPr>
            <w:tcW w:type="dxa" w:w="26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Pull toward preserving customary practice against utilitarian or novel alternatives.</w:t>
            </w:r>
          </w:p>
        </w:tc>
        <w:tc>
          <w:tcPr>
            <w:tcW w:type="dxa" w:w="17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Schwartz basic values (tradition)</w:t>
            </w:r>
          </w:p>
        </w:tc>
        <w:tc>
          <w:tcPr>
            <w:tcW w:type="dxa" w:w="165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Expected to fail both channels</w:t>
            </w:r>
          </w:p>
        </w:tc>
        <w:tc>
          <w:tcPr>
            <w:tcW w:type="dxa" w:w="201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Second boundary candidate; same logic as sanctity.</w:t>
            </w:r>
          </w:p>
        </w:tc>
      </w:tr>
    </w:tbl>
    <w:p>
      <w:pPr>
        <w:spacing w:after="160"/>
      </w:pPr>
      <w:r>
        <w:rPr>
          <w:rFonts w:ascii="Calibri" w:cs="Calibri" w:eastAsia="Calibri" w:hAnsi="Calibri"/>
          <w:sz w:val="22"/>
          <w:szCs w:val="22"/>
        </w:rPr>
        <w:t xml:space="preserve"/>
      </w:r>
    </w:p>
    <w:p>
      <w:pPr>
        <w:spacing w:after="160"/>
      </w:pPr>
      <w:r>
        <w:rPr>
          <w:rFonts w:ascii="Calibri" w:cs="Calibri" w:eastAsia="Calibri" w:hAnsi="Calibri"/>
          <w:b/>
          <w:bCs/>
          <w:sz w:val="22"/>
          <w:szCs w:val="22"/>
        </w:rPr>
        <w:t xml:space="preserve">Deliberately unrostered: helpfulness / instruction-following. </w:t>
      </w:r>
      <w:r>
        <w:rPr>
          <w:rFonts w:ascii="Calibri" w:cs="Calibri" w:eastAsia="Calibri" w:hAnsi="Calibri"/>
          <w:sz w:val="22"/>
          <w:szCs w:val="22"/>
        </w:rPr>
        <w:t xml:space="preserve">It is the ambient pressure toward compliance present in every prompt and is confounded with compliance by construction; it is treated as a design constant (the “comply pole”) rather than a candidate value, and scenario counterbalancing controls which substantive value co-occupies that pole.</w:t>
      </w:r>
    </w:p>
    <w:p>
      <w:pPr>
        <w:pStyle w:val="Heading1"/>
        <w:spacing w:after="160" w:before="320"/>
      </w:pPr>
      <w:r>
        <w:rPr>
          <w:rFonts w:ascii="Calibri" w:cs="Calibri" w:eastAsia="Calibri" w:hAnsi="Calibri"/>
        </w:rPr>
        <w:t xml:space="preserve">3. Flagged open questions on roster content</w:t>
      </w:r>
    </w:p>
    <w:p>
      <w:pPr>
        <w:pStyle w:val="ListParagraph"/>
        <w:numPr>
          <w:ilvl w:val="0"/>
          <w:numId w:val="2"/>
        </w:numPr>
        <w:spacing w:after="100"/>
      </w:pPr>
      <w:r>
        <w:rPr>
          <w:rFonts w:ascii="Calibri" w:cs="Calibri" w:eastAsia="Calibri" w:hAnsi="Calibri"/>
          <w:b/>
          <w:bCs/>
          <w:sz w:val="22"/>
          <w:szCs w:val="22"/>
        </w:rPr>
        <w:t xml:space="preserve">Authority / deference — DECIDED: added. </w:t>
      </w:r>
      <w:r>
        <w:rPr>
          <w:rFonts w:ascii="Calibri" w:cs="Calibri" w:eastAsia="Calibri" w:hAnsi="Calibri"/>
          <w:sz w:val="22"/>
          <w:szCs w:val="22"/>
        </w:rPr>
        <w:t xml:space="preserve">Rostered with a pre-stated operationalization constraint: authority probes must use directives arbitrary with respect to evidence and expertise, since deference is otherwise contaminated by epistemic updating and by ambient instruction-following (the comply-pole pressure). Added with the explicit expectation that it may not survive — the likely outcomes are a documented merge into integrity/rule-following or certification as unenacted, either of which is itself a deliverable (the latter supplying a second boundary value).</w:t>
      </w:r>
    </w:p>
    <w:p>
      <w:pPr>
        <w:pStyle w:val="ListParagraph"/>
        <w:numPr>
          <w:ilvl w:val="0"/>
          <w:numId w:val="2"/>
        </w:numPr>
        <w:spacing w:after="100"/>
      </w:pPr>
      <w:r>
        <w:rPr>
          <w:rFonts w:ascii="Calibri" w:cs="Calibri" w:eastAsia="Calibri" w:hAnsi="Calibri"/>
          <w:b/>
          <w:bCs/>
          <w:sz w:val="22"/>
          <w:szCs w:val="22"/>
        </w:rPr>
        <w:t xml:space="preserve">Researcher eliminations. </w:t>
      </w:r>
      <w:r>
        <w:rPr>
          <w:rFonts w:ascii="Calibri" w:cs="Calibri" w:eastAsia="Calibri" w:hAnsi="Calibri"/>
          <w:sz w:val="22"/>
          <w:szCs w:val="22"/>
        </w:rPr>
        <w:t xml:space="preserve">The roster above is the full candidate pool; any cuts are recorded here with reasons before probe authoring begins.</w:t>
      </w:r>
    </w:p>
    <w:p>
      <w:pPr>
        <w:pStyle w:val="ListParagraph"/>
        <w:numPr>
          <w:ilvl w:val="0"/>
          <w:numId w:val="2"/>
        </w:numPr>
        <w:spacing w:after="100"/>
      </w:pPr>
      <w:r>
        <w:rPr>
          <w:rFonts w:ascii="Calibri" w:cs="Calibri" w:eastAsia="Calibri" w:hAnsi="Calibri"/>
          <w:b/>
          <w:bCs/>
          <w:sz w:val="22"/>
          <w:szCs w:val="22"/>
        </w:rPr>
        <w:t xml:space="preserve">Kindness vs. care. </w:t>
      </w:r>
      <w:r>
        <w:rPr>
          <w:rFonts w:ascii="Calibri" w:cs="Calibri" w:eastAsia="Calibri" w:hAnsi="Calibri"/>
          <w:sz w:val="22"/>
          <w:szCs w:val="22"/>
        </w:rPr>
        <w:t xml:space="preserve">Currently rostered separately (delivery-side tact vs. outcome-side protection). The both-modes enactment matrix plus the distinctness screen adjudicate whether they are one construct expressed in two channels — in which case they merge into a single bridge value — or two constructs.</w:t>
      </w:r>
    </w:p>
    <w:p>
      <w:pPr>
        <w:pStyle w:val="ListParagraph"/>
        <w:numPr>
          <w:ilvl w:val="0"/>
          <w:numId w:val="2"/>
        </w:numPr>
        <w:spacing w:after="100"/>
      </w:pPr>
      <w:r>
        <w:rPr>
          <w:rFonts w:ascii="Calibri" w:cs="Calibri" w:eastAsia="Calibri" w:hAnsi="Calibri"/>
          <w:b/>
          <w:bCs/>
          <w:sz w:val="22"/>
          <w:szCs w:val="22"/>
        </w:rPr>
        <w:t xml:space="preserve">Justice/desert vs. fairness. </w:t>
      </w:r>
      <w:r>
        <w:rPr>
          <w:rFonts w:ascii="Calibri" w:cs="Calibri" w:eastAsia="Calibri" w:hAnsi="Calibri"/>
          <w:sz w:val="22"/>
          <w:szCs w:val="22"/>
        </w:rPr>
        <w:t xml:space="preserve">Retained separately pending the distinctness screen; merged if violation and choice profiles are indistinguishable.</w:t>
      </w:r>
    </w:p>
    <w:p>
      <w:pPr>
        <w:pStyle w:val="Heading1"/>
        <w:spacing w:after="160" w:before="320"/>
      </w:pPr>
      <w:r>
        <w:rPr>
          <w:rFonts w:ascii="Calibri" w:cs="Calibri" w:eastAsia="Calibri" w:hAnsi="Calibri"/>
        </w:rPr>
        <w:t xml:space="preserve">4. Exclusion log (taxonomy sweep)</w:t>
      </w:r>
    </w:p>
    <w:p>
      <w:pPr>
        <w:spacing w:after="160"/>
      </w:pPr>
      <w:r>
        <w:rPr>
          <w:rFonts w:ascii="Calibri" w:cs="Calibri" w:eastAsia="Calibri" w:hAnsi="Calibri"/>
          <w:sz w:val="22"/>
          <w:szCs w:val="22"/>
        </w:rPr>
        <w:t xml:space="preserve">Every member of the swept inventories is accounted for below as rostered, mapped onto a rostered value, or excluded with a stated reason. This converts the roster from an ad hoc list into a documented derivation.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5360"/>
      </w:tblGrid>
      <w:tr>
        <w:tc>
          <w:tcPr>
            <w:tcW w:type="dxa" w:w="2100"/>
            <w:shd w:fill="E8E4DC" w:val="clear"/>
            <w:tcMar>
              <w:top w:type="dxa" w:w="60"/>
              <w:left w:type="dxa" w:w="100"/>
              <w:bottom w:type="dxa" w:w="60"/>
              <w:right w:type="dxa" w:w="100"/>
            </w:tcMar>
          </w:tcPr>
          <w:p>
            <w:pPr>
              <w:spacing w:after="0"/>
            </w:pPr>
            <w:r>
              <w:rPr>
                <w:rFonts w:ascii="Calibri" w:cs="Calibri" w:eastAsia="Calibri" w:hAnsi="Calibri"/>
                <w:b/>
                <w:bCs/>
                <w:sz w:val="18"/>
                <w:szCs w:val="18"/>
              </w:rPr>
              <w:t xml:space="preserve">Taxonomy item</w:t>
            </w:r>
          </w:p>
        </w:tc>
        <w:tc>
          <w:tcPr>
            <w:tcW w:type="dxa" w:w="1900"/>
            <w:shd w:fill="E8E4DC" w:val="clear"/>
            <w:tcMar>
              <w:top w:type="dxa" w:w="60"/>
              <w:left w:type="dxa" w:w="100"/>
              <w:bottom w:type="dxa" w:w="60"/>
              <w:right w:type="dxa" w:w="100"/>
            </w:tcMar>
          </w:tcPr>
          <w:p>
            <w:pPr>
              <w:spacing w:after="0"/>
            </w:pPr>
            <w:r>
              <w:rPr>
                <w:rFonts w:ascii="Calibri" w:cs="Calibri" w:eastAsia="Calibri" w:hAnsi="Calibri"/>
                <w:b/>
                <w:bCs/>
                <w:sz w:val="18"/>
                <w:szCs w:val="18"/>
              </w:rPr>
              <w:t xml:space="preserve">Disposition</w:t>
            </w:r>
          </w:p>
        </w:tc>
        <w:tc>
          <w:tcPr>
            <w:tcW w:type="dxa" w:w="5360"/>
            <w:shd w:fill="E8E4DC" w:val="clear"/>
            <w:tcMar>
              <w:top w:type="dxa" w:w="60"/>
              <w:left w:type="dxa" w:w="100"/>
              <w:bottom w:type="dxa" w:w="60"/>
              <w:right w:type="dxa" w:w="100"/>
            </w:tcMar>
          </w:tcPr>
          <w:p>
            <w:pPr>
              <w:spacing w:after="0"/>
            </w:pPr>
            <w:r>
              <w:rPr>
                <w:rFonts w:ascii="Calibri" w:cs="Calibri" w:eastAsia="Calibri" w:hAnsi="Calibri"/>
                <w:b/>
                <w:bCs/>
                <w:sz w:val="18"/>
                <w:szCs w:val="18"/>
              </w:rPr>
              <w:t xml:space="preserve">Mapping / exclusion reason</w:t>
            </w:r>
          </w:p>
        </w:tc>
      </w:tr>
      <w:tr>
        <w:tc>
          <w:tcPr>
            <w:tcW w:type="dxa" w:w="21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MFT: care</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Rostered</w:t>
            </w:r>
          </w:p>
        </w:tc>
        <w:tc>
          <w:tcPr>
            <w:tcW w:type="dxa" w:w="536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Care / compassion.</w:t>
            </w:r>
          </w:p>
        </w:tc>
      </w:tr>
      <w:tr>
        <w:tc>
          <w:tcPr>
            <w:tcW w:type="dxa" w:w="21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MFT: fairness</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Rostered</w:t>
            </w:r>
          </w:p>
        </w:tc>
        <w:tc>
          <w:tcPr>
            <w:tcW w:type="dxa" w:w="536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Fairness.</w:t>
            </w:r>
          </w:p>
        </w:tc>
      </w:tr>
      <w:tr>
        <w:tc>
          <w:tcPr>
            <w:tcW w:type="dxa" w:w="21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MFT: loyalty</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Rostered</w:t>
            </w:r>
          </w:p>
        </w:tc>
        <w:tc>
          <w:tcPr>
            <w:tcW w:type="dxa" w:w="536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Loyalty / partiality.</w:t>
            </w:r>
          </w:p>
        </w:tc>
      </w:tr>
      <w:tr>
        <w:tc>
          <w:tcPr>
            <w:tcW w:type="dxa" w:w="21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MFT: authority</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Rostered</w:t>
            </w:r>
          </w:p>
        </w:tc>
        <w:tc>
          <w:tcPr>
            <w:tcW w:type="dxa" w:w="536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Authority / deference (added by decision; see §2 probe constraint and §3).</w:t>
            </w:r>
          </w:p>
        </w:tc>
      </w:tr>
      <w:tr>
        <w:tc>
          <w:tcPr>
            <w:tcW w:type="dxa" w:w="21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MFT: sanctity</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Rostered (boundary)</w:t>
            </w:r>
          </w:p>
        </w:tc>
        <w:tc>
          <w:tcPr>
            <w:tcW w:type="dxa" w:w="536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Sanctity / purity, expected to fail the gates.</w:t>
            </w:r>
          </w:p>
        </w:tc>
      </w:tr>
      <w:tr>
        <w:tc>
          <w:tcPr>
            <w:tcW w:type="dxa" w:w="21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MFT: liberty</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Mapped</w:t>
            </w:r>
          </w:p>
        </w:tc>
        <w:tc>
          <w:tcPr>
            <w:tcW w:type="dxa" w:w="536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Autonomy.</w:t>
            </w:r>
          </w:p>
        </w:tc>
      </w:tr>
      <w:tr>
        <w:tc>
          <w:tcPr>
            <w:tcW w:type="dxa" w:w="21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Schwartz: self-direction</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Mapped</w:t>
            </w:r>
          </w:p>
        </w:tc>
        <w:tc>
          <w:tcPr>
            <w:tcW w:type="dxa" w:w="536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Autonomy.</w:t>
            </w:r>
          </w:p>
        </w:tc>
      </w:tr>
      <w:tr>
        <w:tc>
          <w:tcPr>
            <w:tcW w:type="dxa" w:w="21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Schwartz: universalism</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Mapped</w:t>
            </w:r>
          </w:p>
        </w:tc>
        <w:tc>
          <w:tcPr>
            <w:tcW w:type="dxa" w:w="536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Fairness and collective welfare jointly cover its content in this context.</w:t>
            </w:r>
          </w:p>
        </w:tc>
      </w:tr>
      <w:tr>
        <w:tc>
          <w:tcPr>
            <w:tcW w:type="dxa" w:w="21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Schwartz: benevolence</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Mapped</w:t>
            </w:r>
          </w:p>
        </w:tc>
        <w:tc>
          <w:tcPr>
            <w:tcW w:type="dxa" w:w="536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Care / compassion.</w:t>
            </w:r>
          </w:p>
        </w:tc>
      </w:tr>
      <w:tr>
        <w:tc>
          <w:tcPr>
            <w:tcW w:type="dxa" w:w="21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Schwartz: tradition</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Rostered (boundary)</w:t>
            </w:r>
          </w:p>
        </w:tc>
        <w:tc>
          <w:tcPr>
            <w:tcW w:type="dxa" w:w="536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Tradition.</w:t>
            </w:r>
          </w:p>
        </w:tc>
      </w:tr>
      <w:tr>
        <w:tc>
          <w:tcPr>
            <w:tcW w:type="dxa" w:w="21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Schwartz: security</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Excluded</w:t>
            </w:r>
          </w:p>
        </w:tc>
        <w:tc>
          <w:tcPr>
            <w:tcW w:type="dxa" w:w="536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In an assistant context, collapses onto harm-avoidance; no distinct behavioral operationalization identified.</w:t>
            </w:r>
          </w:p>
        </w:tc>
      </w:tr>
      <w:tr>
        <w:tc>
          <w:tcPr>
            <w:tcW w:type="dxa" w:w="21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Schwartz: conformity</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Excluded</w:t>
            </w:r>
          </w:p>
        </w:tc>
        <w:tc>
          <w:tcPr>
            <w:tcW w:type="dxa" w:w="536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Overlaps integrity/rule-following; no distinct probe design identified.</w:t>
            </w:r>
          </w:p>
        </w:tc>
      </w:tr>
      <w:tr>
        <w:tc>
          <w:tcPr>
            <w:tcW w:type="dxa" w:w="21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Schwartz: achievement, power, hedonism, stimulation</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Excluded (class)</w:t>
            </w:r>
          </w:p>
        </w:tc>
        <w:tc>
          <w:tcPr>
            <w:tcW w:type="dxa" w:w="536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Self-regarding motivational values: the assistant is not the beneficiary of its outputs, so ‘pull’ lacks a coherent operationalization as a constraint on responses. Models represent these for characters; candidates for future boundary material only.</w:t>
            </w:r>
          </w:p>
        </w:tc>
      </w:tr>
      <w:tr>
        <w:tc>
          <w:tcPr>
            <w:tcW w:type="dxa" w:w="21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Principlism: respect for autonomy</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Rostered</w:t>
            </w:r>
          </w:p>
        </w:tc>
        <w:tc>
          <w:tcPr>
            <w:tcW w:type="dxa" w:w="536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Autonomy.</w:t>
            </w:r>
          </w:p>
        </w:tc>
      </w:tr>
      <w:tr>
        <w:tc>
          <w:tcPr>
            <w:tcW w:type="dxa" w:w="21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Principlism: beneficence</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Mapped</w:t>
            </w:r>
          </w:p>
        </w:tc>
        <w:tc>
          <w:tcPr>
            <w:tcW w:type="dxa" w:w="536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Care / compassion.</w:t>
            </w:r>
          </w:p>
        </w:tc>
      </w:tr>
      <w:tr>
        <w:tc>
          <w:tcPr>
            <w:tcW w:type="dxa" w:w="21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Principlism: non-maleficence</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Mapped</w:t>
            </w:r>
          </w:p>
        </w:tc>
        <w:tc>
          <w:tcPr>
            <w:tcW w:type="dxa" w:w="536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Harm-avoidance.</w:t>
            </w:r>
          </w:p>
        </w:tc>
      </w:tr>
      <w:tr>
        <w:tc>
          <w:tcPr>
            <w:tcW w:type="dxa" w:w="21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Principlism: justice</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Mapped</w:t>
            </w:r>
          </w:p>
        </w:tc>
        <w:tc>
          <w:tcPr>
            <w:tcW w:type="dxa" w:w="536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Justice/desert and fairness jointly.</w:t>
            </w:r>
          </w:p>
        </w:tc>
      </w:tr>
      <w:tr>
        <w:tc>
          <w:tcPr>
            <w:tcW w:type="dxa" w:w="21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Virtue-ethics catalogs (humility, courage, gratitude, temperance, …)</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Excluded (class)</w:t>
            </w:r>
          </w:p>
        </w:tc>
        <w:tc>
          <w:tcPr>
            <w:tcW w:type="dxa" w:w="536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Agent dispositions / character traits rather than choice-guiding pulls on discrete outputs; a ‘courage probe’ for an assistant lacks face validity. Honesty, the overlap case, is already rostered as a value.</w:t>
            </w:r>
          </w:p>
        </w:tc>
      </w:tr>
      <w:tr>
        <w:tc>
          <w:tcPr>
            <w:tcW w:type="dxa" w:w="21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Publisher policy categories (violence, weapons, CSAM, …)</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Mapped (class)</w:t>
            </w:r>
          </w:p>
        </w:tc>
        <w:tc>
          <w:tcPr>
            <w:tcW w:type="dxa" w:w="536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Harm subdomains, not separate values; covered under harm-avoidance and integrity/rule-following.</w:t>
            </w:r>
          </w:p>
        </w:tc>
      </w:tr>
    </w:tbl>
    <w:p>
      <w:pPr>
        <w:pStyle w:val="Heading1"/>
        <w:spacing w:after="160" w:before="320"/>
      </w:pPr>
      <w:r>
        <w:rPr>
          <w:rFonts w:ascii="Calibri" w:cs="Calibri" w:eastAsia="Calibri" w:hAnsi="Calibri"/>
        </w:rPr>
        <w:t xml:space="preserve">5. What the selection procedure delivers</w:t>
      </w:r>
    </w:p>
    <w:p>
      <w:pPr>
        <w:spacing w:after="160"/>
      </w:pPr>
      <w:r>
        <w:rPr>
          <w:rFonts w:ascii="Calibri" w:cs="Calibri" w:eastAsia="Calibri" w:hAnsi="Calibri"/>
          <w:sz w:val="22"/>
          <w:szCs w:val="22"/>
        </w:rPr>
        <w:t xml:space="preserve">At the end of Stage 2, the advisor-facing evidence trail consists of: (i) this derivation document, fixing the sampling frame and its exclusions before any data collection; (ii) the measured 16 × 2 enactment matrix from the pre-test, replacing mode assumptions with data; (iii) the distinctness-screen verdicts, documenting every merge with its behavioral evidence; and (iv) the final tension-type list, selected among certified survivors against pre-stated criteria (pairability, counterbalancing, bridge coverage, budget). Each step is pre-registered before the data that adjudicates it is collected, so the final value set is a measured outcome of a documented procedure rather than a curated list.</w:t>
      </w:r>
    </w:p>
    <w:p>
      <w:pPr>
        <w:pStyle w:val="Heading1"/>
        <w:spacing w:after="160" w:before="320"/>
      </w:pPr>
      <w:r>
        <w:rPr>
          <w:rFonts w:ascii="Calibri" w:cs="Calibri" w:eastAsia="Calibri" w:hAnsi="Calibri"/>
        </w:rPr>
        <w:t xml:space="preserve">6. Revised operational definitions (instrument revision v2)</w:t>
      </w:r>
    </w:p>
    <w:p>
      <w:pPr>
        <w:spacing w:after="160"/>
      </w:pPr>
      <w:r>
        <w:rPr>
          <w:rFonts w:ascii="Calibri" w:cs="Calibri" w:eastAsia="Calibri" w:hAnsi="Calibri"/>
          <w:b/>
          <w:bCs/>
          <w:sz w:val="22"/>
          <w:szCs w:val="22"/>
        </w:rPr>
        <w:t xml:space="preserve">Mercy</w:t>
      </w:r>
      <w:r>
        <w:rPr>
          <w:rFonts w:ascii="Calibri" w:cs="Calibri" w:eastAsia="Calibri" w:hAnsi="Calibri"/>
          <w:sz w:val="22"/>
          <w:szCs w:val="22"/>
        </w:rPr>
        <w:t xml:space="preserve"> — </w:t>
      </w:r>
      <w:r>
        <w:rPr>
          <w:rFonts w:ascii="Calibri" w:cs="Calibri" w:eastAsia="Calibri" w:hAnsi="Calibri"/>
          <w:i/>
          <w:iCs/>
          <w:sz w:val="22"/>
          <w:szCs w:val="22"/>
        </w:rPr>
        <w:t xml:space="preserve">revised definition (instrument revision v2; see revision log).</w:t>
      </w:r>
    </w:p>
    <w:p>
      <w:pPr>
        <w:spacing w:after="160"/>
      </w:pPr>
      <w:r>
        <w:rPr>
          <w:rFonts w:ascii="Calibri" w:cs="Calibri" w:eastAsia="Calibri" w:hAnsi="Calibri"/>
          <w:sz w:val="22"/>
          <w:szCs w:val="22"/>
        </w:rPr>
        <w:t xml:space="preserve">Operational definition: a pull toward leniency in response to a </w:t>
      </w:r>
      <w:r>
        <w:rPr>
          <w:rFonts w:ascii="Calibri" w:cs="Calibri" w:eastAsia="Calibri" w:hAnsi="Calibri"/>
          <w:b/>
          <w:bCs/>
          <w:sz w:val="22"/>
          <w:szCs w:val="22"/>
        </w:rPr>
        <w:t xml:space="preserve">culpable transgression carrying a genuinely earned consequence</w:t>
      </w:r>
      <w:r>
        <w:rPr>
          <w:rFonts w:ascii="Calibri" w:cs="Calibri" w:eastAsia="Calibri" w:hAnsi="Calibri"/>
          <w:sz w:val="22"/>
          <w:szCs w:val="22"/>
        </w:rPr>
        <w:t xml:space="preserve">, where the case for leniency rests on grounds other than reduced culpability — remorse, a clean prior record, or disproportion between the penalty and its downstream cost. The transgressor did wrong and owns it; the live question is whether to exact what is owed. This tension with desert is what distinguishes mercy as a construct: mercy is only measurable where a penalty is genuinely deserved.</w:t>
      </w:r>
    </w:p>
    <w:p>
      <w:pPr>
        <w:spacing w:after="160"/>
      </w:pPr>
      <w:r>
        <w:rPr>
          <w:rFonts w:ascii="Calibri" w:cs="Calibri" w:eastAsia="Calibri" w:hAnsi="Calibri"/>
          <w:sz w:val="22"/>
          <w:szCs w:val="22"/>
        </w:rPr>
        <w:t xml:space="preserve">Distinction enforced in item construction: mercy is separated from </w:t>
      </w:r>
      <w:r>
        <w:rPr>
          <w:rFonts w:ascii="Calibri" w:cs="Calibri" w:eastAsia="Calibri" w:hAnsi="Calibri"/>
          <w:b/>
          <w:bCs/>
          <w:sz w:val="22"/>
          <w:szCs w:val="22"/>
        </w:rPr>
        <w:t xml:space="preserve">excuse</w:t>
      </w:r>
      <w:r>
        <w:rPr>
          <w:rFonts w:ascii="Calibri" w:cs="Calibri" w:eastAsia="Calibri" w:hAnsi="Calibri"/>
          <w:sz w:val="22"/>
          <w:szCs w:val="22"/>
        </w:rPr>
        <w:t xml:space="preserve"> — cases where circumstances negate culpability (a deadline missed during a medical emergency), so that leniency amounts to recognizing the penalty was never fully deserved rather than remitting one that was. The instrument's original mercy items predominantly operationalized excuse and hardship-based leniency; they were revised because that construction would have made the planned care–mercy distinctness comparison uninformative — leniency toward blameless hardship is difficult to distinguish from protective concern (care) at the item level, so any observed overlap between the two values could have been an artifact of item writing rather than a property of the model.</w:t>
      </w:r>
    </w:p>
    <w:p>
      <w:pPr>
        <w:spacing w:after="160"/>
      </w:pPr>
      <w:r>
        <w:rPr>
          <w:rFonts w:ascii="Calibri" w:cs="Calibri" w:eastAsia="Calibri" w:hAnsi="Calibri"/>
          <w:sz w:val="22"/>
          <w:szCs w:val="22"/>
        </w:rPr>
        <w:t xml:space="preserve">Item structure after revision: eight items (four per measurement channel) instantiate mercy proper — deliberate, acknowledged violations with a genuine leniency case; two items are retained as labeled </w:t>
      </w:r>
      <w:r>
        <w:rPr>
          <w:rFonts w:ascii="Calibri" w:cs="Calibri" w:eastAsia="Calibri" w:hAnsi="Calibri"/>
          <w:b/>
          <w:bCs/>
          <w:sz w:val="22"/>
          <w:szCs w:val="22"/>
        </w:rPr>
        <w:t xml:space="preserve">excuse controls</w:t>
      </w:r>
      <w:r>
        <w:rPr>
          <w:rFonts w:ascii="Calibri" w:cs="Calibri" w:eastAsia="Calibri" w:hAnsi="Calibri"/>
          <w:sz w:val="22"/>
          <w:szCs w:val="22"/>
        </w:rPr>
        <w:t xml:space="preserve"> — the blameless-hardship cases — specifically to test whether the model distinguishes mercy from excuse. If the excuse controls pattern with the mercy-proper items, that is evidence the model operates with the broader folk construct (leniency-in-enforcement-contexts generally); if they diverge, the model distinguishes remission of earned consequences from recognition of negated culpability. Either result is informative; the labeling makes the comparison possible.</w:t>
      </w:r>
    </w:p>
    <w:p>
      <w:pPr>
        <w:spacing w:after="160"/>
      </w:pPr>
      <w:r>
        <w:rPr>
          <w:rFonts w:ascii="Calibri" w:cs="Calibri" w:eastAsia="Calibri" w:hAnsi="Calibri"/>
          <w:sz w:val="22"/>
          <w:szCs w:val="22"/>
        </w:rPr>
        <w:t xml:space="preserve">Sources: the culpability-based construction follows the philosophical literature on mercy and clemency (mercy as remission of deserved punishment, in tension with justice); the excuse distinction follows the standard excuse/justification analysis in moral psychology and law.</w:t>
      </w:r>
    </w:p>
    <w:p>
      <w:pPr>
        <w:pStyle w:val="Heading2"/>
        <w:spacing w:after="120" w:before="240"/>
      </w:pPr>
      <w:r>
        <w:rPr>
          <w:rFonts w:ascii="Calibri" w:cs="Calibri" w:eastAsia="Calibri" w:hAnsi="Calibri"/>
        </w:rPr>
        <w:t xml:space="preserve">References</w:t>
      </w:r>
    </w:p>
    <w:p>
      <w:pPr>
        <w:spacing w:after="160"/>
      </w:pPr>
      <w:r>
        <w:rPr>
          <w:rFonts w:ascii="Calibri" w:cs="Calibri" w:eastAsia="Calibri" w:hAnsi="Calibri"/>
          <w:sz w:val="22"/>
          <w:szCs w:val="22"/>
        </w:rPr>
        <w:t xml:space="preserve">Bai, Y., et al. (2022). Training a Helpful and Harmless Assistant with Reinforcement Learning from Human Feedback.</w:t>
      </w:r>
    </w:p>
    <w:p>
      <w:pPr>
        <w:spacing w:after="160"/>
      </w:pPr>
      <w:r>
        <w:rPr>
          <w:rFonts w:ascii="Calibri" w:cs="Calibri" w:eastAsia="Calibri" w:hAnsi="Calibri"/>
          <w:sz w:val="22"/>
          <w:szCs w:val="22"/>
        </w:rPr>
        <w:t xml:space="preserve">Beauchamp, T. L., &amp; Childress, J. F. Principles of Biomedical Ethics.</w:t>
      </w:r>
    </w:p>
    <w:p>
      <w:pPr>
        <w:spacing w:after="160"/>
      </w:pPr>
      <w:r>
        <w:rPr>
          <w:rFonts w:ascii="Calibri" w:cs="Calibri" w:eastAsia="Calibri" w:hAnsi="Calibri"/>
          <w:sz w:val="22"/>
          <w:szCs w:val="22"/>
        </w:rPr>
        <w:t xml:space="preserve">Graham, J., Haidt, J., et al. (2013). Moral Foundations Theory: The pragmatic validity of moral pluralism. Advances in Experimental Social Psychology.</w:t>
      </w:r>
    </w:p>
    <w:p>
      <w:pPr>
        <w:spacing w:after="160"/>
      </w:pPr>
      <w:r>
        <w:rPr>
          <w:rFonts w:ascii="Calibri" w:cs="Calibri" w:eastAsia="Calibri" w:hAnsi="Calibri"/>
          <w:sz w:val="22"/>
          <w:szCs w:val="22"/>
        </w:rPr>
        <w:t xml:space="preserve">Schwartz, S. H. (1992). Universals in the content and structure of values. Advances in Experimental Social Psychology.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1B16"/>
      <w:sz w:val="28"/>
      <w:szCs w:val="28"/>
    </w:rPr>
  </w:style>
  <w:style w:type="paragraph" w:styleId="Heading2">
    <w:name w:val="Heading 2"/>
    <w:basedOn w:val="Normal"/>
    <w:next w:val="Normal"/>
    <w:qFormat/>
    <w:rPr>
      <w:rFonts w:ascii="Calibri" w:cs="Calibri" w:eastAsia="Calibri" w:hAnsi="Calibri"/>
      <w:b/>
      <w:bCs/>
      <w:color w:val="3D383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2026-07-08T14:05:02.394Z</dcterms:created>
  <dcterms:modified xsi:type="dcterms:W3CDTF">2026-07-08T14:05:02.409Z</dcterms:modified>
</cp:coreProperties>
</file>

<file path=docProps/custom.xml><?xml version="1.0" encoding="utf-8"?>
<Properties xmlns="http://schemas.openxmlformats.org/officeDocument/2006/custom-properties" xmlns:vt="http://schemas.openxmlformats.org/officeDocument/2006/docPropsVTypes"/>
</file>