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BA77C" w14:textId="20EB58BD" w:rsidR="0044071F" w:rsidRDefault="00F91722">
      <w:r>
        <w:t>Project I</w:t>
      </w:r>
    </w:p>
    <w:p w14:paraId="5520E266" w14:textId="26925E5E" w:rsidR="00F91722" w:rsidRDefault="00F91722">
      <w:r>
        <w:t>CS-370</w:t>
      </w:r>
    </w:p>
    <w:p w14:paraId="69C24AE1" w14:textId="763C0B29" w:rsidR="00F91722" w:rsidRDefault="00F91722">
      <w:r>
        <w:t>Kaitlyn OConnell</w:t>
      </w:r>
    </w:p>
    <w:p w14:paraId="278A1C09" w14:textId="1A501F51" w:rsidR="00F91722" w:rsidRDefault="00F91722">
      <w:r>
        <w:t xml:space="preserve">2026-09-25 </w:t>
      </w:r>
    </w:p>
    <w:p w14:paraId="140C615C" w14:textId="6795027E" w:rsidR="00F91722" w:rsidRDefault="00F91722" w:rsidP="00F91722">
      <w:pPr>
        <w:jc w:val="center"/>
        <w:rPr>
          <w:b/>
          <w:bCs/>
        </w:rPr>
      </w:pPr>
      <w:r>
        <w:rPr>
          <w:b/>
          <w:bCs/>
        </w:rPr>
        <w:t xml:space="preserve">Neural Networks and GDPR Principles </w:t>
      </w:r>
    </w:p>
    <w:p w14:paraId="1C4D7EDB" w14:textId="77777777" w:rsidR="008241F9" w:rsidRPr="008241F9" w:rsidRDefault="008241F9" w:rsidP="008241F9">
      <w:pPr>
        <w:spacing w:line="480" w:lineRule="auto"/>
      </w:pPr>
      <w:r w:rsidRPr="008241F9">
        <w:t xml:space="preserve">Safety is key to protecting </w:t>
      </w:r>
      <w:proofErr w:type="spellStart"/>
      <w:r w:rsidRPr="008241F9">
        <w:t>LiveMeetsLive's</w:t>
      </w:r>
      <w:proofErr w:type="spellEnd"/>
      <w:r w:rsidRPr="008241F9">
        <w:t xml:space="preserve"> reputation. Concerns about privacy, fairness, and the use of artificial intelligence (AI) are becoming more important as personalization becomes a larger part of the user experience. The platform depends on personalization to recommend posts, groups, discussions, games, articles, and advertisements. To make these recommendations useful, the system collects information such as clicks, searches, navigation, viewing time, links followed, location information, and other activity. This information helps identify patterns in user behavior and predict what a user may want to interact with next.</w:t>
      </w:r>
    </w:p>
    <w:p w14:paraId="64084603" w14:textId="77777777" w:rsidR="008241F9" w:rsidRPr="008241F9" w:rsidRDefault="008241F9" w:rsidP="008241F9">
      <w:pPr>
        <w:spacing w:line="480" w:lineRule="auto"/>
      </w:pPr>
      <w:r w:rsidRPr="008241F9">
        <w:t>The concern is not that data collection must stop. A personalization system needs information about user behavior to provide relevant recommendations. Data is also necessary for auditing, identifying trends, troubleshooting, improving models, and understanding whether an AI system is producing the expected results. The larger concern is collecting everything and storing it indefinitely because it might be useful in the future. A better approach is to collect information for defined purposes and focus on metrics that capture AI inputs, outputs, performance, and errors rather than maintaining unlimited amounts of raw user activity.</w:t>
      </w:r>
    </w:p>
    <w:p w14:paraId="4C066544" w14:textId="77777777" w:rsidR="008241F9" w:rsidRPr="008241F9" w:rsidRDefault="008241F9" w:rsidP="008241F9">
      <w:pPr>
        <w:spacing w:line="480" w:lineRule="auto"/>
      </w:pPr>
      <w:r w:rsidRPr="008241F9">
        <w:t>Neural networks are a type of machine-learning algorithm that attempts to recognize patterns and make predictions. They are used for applications such as image recognition, natural language processing, voice recognition, and recommendation systems. Neural networks were inspired by biological neurons, but an artificial neural network is a mathematical system rather than a digital version of the human brain (Gulli &amp; Pal, 2017).</w:t>
      </w:r>
    </w:p>
    <w:p w14:paraId="2C67BD31" w14:textId="77777777" w:rsidR="008241F9" w:rsidRPr="008241F9" w:rsidRDefault="008241F9" w:rsidP="008241F9">
      <w:pPr>
        <w:spacing w:line="480" w:lineRule="auto"/>
      </w:pPr>
      <w:r w:rsidRPr="008241F9">
        <w:lastRenderedPageBreak/>
        <w:t>There are similarities between biological and artificial neurons. A biological neuron receives signals from other neurons and can send a signal through its axon when enough input is received. Artificial neurons also receive multiple inputs and produce an output based on those inputs. The major difference is that artificial neurons use mathematical calculations, weights, biases, and activation functions rather than biological processes (</w:t>
      </w:r>
      <w:proofErr w:type="spellStart"/>
      <w:r w:rsidRPr="008241F9">
        <w:t>Nagyfi</w:t>
      </w:r>
      <w:proofErr w:type="spellEnd"/>
      <w:r w:rsidRPr="008241F9">
        <w:t>, 2018). Biological neurons can make connections based on experience and operate within a complex living system. Artificial neural networks require developers, training data, algorithms, and computing systems to establish how those connections work.</w:t>
      </w:r>
    </w:p>
    <w:p w14:paraId="22D1D253" w14:textId="77777777" w:rsidR="008241F9" w:rsidRPr="008241F9" w:rsidRDefault="008241F9" w:rsidP="008241F9">
      <w:pPr>
        <w:spacing w:line="480" w:lineRule="auto"/>
      </w:pPr>
      <w:r w:rsidRPr="008241F9">
        <w:t>A neural network can be understood by looking at three basic layers. The input layer receives the information provided to the system. In a personalization system, this could include searches, clicks, viewing time, content interactions, or general location information. The information is converted into a numerical form that the network can process.</w:t>
      </w:r>
    </w:p>
    <w:p w14:paraId="667E859A" w14:textId="77777777" w:rsidR="008241F9" w:rsidRPr="008241F9" w:rsidRDefault="008241F9" w:rsidP="008241F9">
      <w:pPr>
        <w:spacing w:line="480" w:lineRule="auto"/>
      </w:pPr>
      <w:r w:rsidRPr="008241F9">
        <w:t>The hidden layers are where the network identifies relationships and patterns in the information. Each artificial neuron receives inputs, applies weights to those inputs, and passes the result to other neurons. During training, the network adjusts its weights based on how accurately its prediction matches the expected result. Multiple hidden layers allow the network to recognize more complicated patterns that would be difficult to identify through a basic set of rules.</w:t>
      </w:r>
    </w:p>
    <w:p w14:paraId="1ED861C7" w14:textId="77777777" w:rsidR="008241F9" w:rsidRPr="008241F9" w:rsidRDefault="008241F9" w:rsidP="008241F9">
      <w:pPr>
        <w:spacing w:line="480" w:lineRule="auto"/>
      </w:pPr>
      <w:r w:rsidRPr="008241F9">
        <w:t>The output layer produces the prediction or classification. In image recognition, the output could identify whether an image is more likely to be a cat or a dog. In a social networking environment, the output could be a prediction that a user is likely to read an article, interact with a discussion, join a group, or click an advertisement. The important point is that the network is not necessarily told exactly what a user likes. It learns relationships from previous information and uses those relationships to make predictions.</w:t>
      </w:r>
    </w:p>
    <w:p w14:paraId="236268A2" w14:textId="4E007E82" w:rsidR="008241F9" w:rsidRPr="008241F9" w:rsidRDefault="008241F9" w:rsidP="008241F9">
      <w:pPr>
        <w:spacing w:line="480" w:lineRule="auto"/>
      </w:pPr>
      <w:r w:rsidRPr="008241F9">
        <w:lastRenderedPageBreak/>
        <w:t>Neural networks can use large amounts of information to personalize the user experience. Natural language processing can help interpret searches and written interactions. Image and video recognition can identify characteristics of content. Personalized search can rank information according to predicted relevance. The networks can also use existing information along with new activity, allowing recommendations to change as user behavior changes.</w:t>
      </w:r>
    </w:p>
    <w:p w14:paraId="1154CC39" w14:textId="77777777" w:rsidR="008241F9" w:rsidRPr="008241F9" w:rsidRDefault="008241F9" w:rsidP="008241F9">
      <w:pPr>
        <w:spacing w:line="480" w:lineRule="auto"/>
      </w:pPr>
      <w:r w:rsidRPr="008241F9">
        <w:t>This can be useful because users do not have to search through everything available on a platform. The system can bring information to them based on patterns it has identified. The same process, however, can also affect the variety of information a user receives. If someone repeatedly interacts with one type of content, the system may continue recommending similar material. The user may receive less variety without intentionally choosing that result.</w:t>
      </w:r>
    </w:p>
    <w:p w14:paraId="7D2B511D" w14:textId="77777777" w:rsidR="008241F9" w:rsidRPr="008241F9" w:rsidRDefault="008241F9" w:rsidP="008241F9">
      <w:pPr>
        <w:spacing w:line="480" w:lineRule="auto"/>
      </w:pPr>
      <w:r w:rsidRPr="008241F9">
        <w:t>The people affected by these systems also need to be considered during development. A recommendation is not just a technical output. It affects what information a person sees and what opportunities are placed in front of that person. A system designed primarily to maximize time on a platform or increase advertising activity could produce results that benefit the business without necessarily benefiting the user. This makes fairness, privacy, transparency, and user control important parts of the design process.</w:t>
      </w:r>
    </w:p>
    <w:p w14:paraId="333C0215" w14:textId="77777777" w:rsidR="008241F9" w:rsidRPr="008241F9" w:rsidRDefault="008241F9" w:rsidP="008241F9">
      <w:pPr>
        <w:spacing w:line="480" w:lineRule="auto"/>
      </w:pPr>
      <w:r w:rsidRPr="008241F9">
        <w:t>One of the largest ethical concerns with neural networks is bias. Neural networks learn from training data, so problems within that data can become part of the model. If the data contains racial, gender, age, or other biases, the model can learn those patterns and reproduce them. Research has demonstrated differences in the accuracy of commercial AI systems across demographic groups, showing why diverse datasets and demographic testing are important (</w:t>
      </w:r>
      <w:proofErr w:type="spellStart"/>
      <w:r w:rsidRPr="008241F9">
        <w:t>Buolamwini</w:t>
      </w:r>
      <w:proofErr w:type="spellEnd"/>
      <w:r w:rsidRPr="008241F9">
        <w:t xml:space="preserve"> &amp; Gebru, 2018).</w:t>
      </w:r>
    </w:p>
    <w:p w14:paraId="2028ADDC" w14:textId="77777777" w:rsidR="008241F9" w:rsidRPr="008241F9" w:rsidRDefault="008241F9" w:rsidP="008241F9">
      <w:pPr>
        <w:spacing w:line="480" w:lineRule="auto"/>
      </w:pPr>
      <w:r w:rsidRPr="008241F9">
        <w:t xml:space="preserve">The way a model reaches a result also affects the people using the system. A black-box model is difficult to interpret because the reasoning behind a particular prediction may not be clear. A system may </w:t>
      </w:r>
      <w:r w:rsidRPr="008241F9">
        <w:lastRenderedPageBreak/>
        <w:t>process thousands of relationships before producing one recommendation, while the user only sees the final result. This makes it difficult for users to understand why something was shown and can make it harder for developers and auditors to identify the cause of an unexpected or unfair result.</w:t>
      </w:r>
    </w:p>
    <w:p w14:paraId="53A28D50" w14:textId="700C0B9C" w:rsidR="008241F9" w:rsidRPr="008241F9" w:rsidRDefault="008241F9" w:rsidP="008241F9">
      <w:pPr>
        <w:spacing w:line="480" w:lineRule="auto"/>
      </w:pPr>
      <w:r w:rsidRPr="008241F9">
        <w:t xml:space="preserve">A white-box model is designed to provide greater visibility into how a model reaches its results. This can make it easier for developers, auditors, and legal personnel to examine the system and identify potential problems. Greater visibility can support accountability and ethical development, although a white-box model is not automatically unbiased. The quality of the training data, design decisions, and testing process </w:t>
      </w:r>
      <w:r w:rsidR="00B517A7">
        <w:t>are more stable</w:t>
      </w:r>
      <w:r w:rsidRPr="008241F9">
        <w:t>.</w:t>
      </w:r>
    </w:p>
    <w:p w14:paraId="1E141F57" w14:textId="77777777" w:rsidR="008241F9" w:rsidRPr="008241F9" w:rsidRDefault="008241F9" w:rsidP="008241F9">
      <w:pPr>
        <w:spacing w:line="480" w:lineRule="auto"/>
      </w:pPr>
      <w:r w:rsidRPr="008241F9">
        <w:t>Black-box and white-box should not be confused with open-source and closed-source software. Open source means the source code is available for examination or modification, while closed source restricts access to the source code. A system can be open source and still be difficult to understand. For this application, the more important issue is whether the model's behavior can be examined and explained.</w:t>
      </w:r>
    </w:p>
    <w:p w14:paraId="050307F4" w14:textId="77777777" w:rsidR="008241F9" w:rsidRPr="008241F9" w:rsidRDefault="008241F9" w:rsidP="008241F9">
      <w:pPr>
        <w:spacing w:line="480" w:lineRule="auto"/>
      </w:pPr>
      <w:r w:rsidRPr="008241F9">
        <w:t>Explainable AI (XAI) can help address the black-box problem. LIME, or Local Interpretable Model-Agnostic Explanations, can examine an individual prediction and identify the features that had the greatest influence on the result (Ribeiro et al., 2016). XAI does not eliminate bias, but it gives engineers and auditors another way to investigate model behavior. This can be especially important when the output affects what users see or how they are categorized.</w:t>
      </w:r>
    </w:p>
    <w:p w14:paraId="2FCB8CE2" w14:textId="40A8BBD1" w:rsidR="008241F9" w:rsidRPr="008241F9" w:rsidRDefault="008241F9" w:rsidP="008241F9">
      <w:pPr>
        <w:spacing w:line="480" w:lineRule="auto"/>
      </w:pPr>
      <w:r w:rsidRPr="008241F9">
        <w:t xml:space="preserve">The legal concerns begin when personal information is collected, combined, analyzed, and used to create predictions about individuals. The GDPR establishes requirements for how personal information is processed and protected. Several principles are particularly important to personalization, including fairness, purpose limitation, data </w:t>
      </w:r>
      <w:r w:rsidR="00850299" w:rsidRPr="008241F9">
        <w:t>minimization</w:t>
      </w:r>
      <w:r w:rsidRPr="008241F9">
        <w:t>, transparency, and the right to information. Accuracy, storage limitation, confidentiality, and accountability also affect the way information is handled (European Union, 2016).</w:t>
      </w:r>
    </w:p>
    <w:p w14:paraId="2EE8894D" w14:textId="77777777" w:rsidR="008241F9" w:rsidRPr="008241F9" w:rsidRDefault="008241F9" w:rsidP="008241F9">
      <w:pPr>
        <w:spacing w:line="480" w:lineRule="auto"/>
      </w:pPr>
      <w:r w:rsidRPr="008241F9">
        <w:lastRenderedPageBreak/>
        <w:t>Fairness requires consideration of whether processing creates unjustified or unexpected effects on people. An AI system does not necessarily need to use race, sex, or another protected characteristic directly to produce a biased result. Other information can act as a proxy for those characteristics. Testing therefore needs to examine the results produced by a model rather than only the fields used to train it.</w:t>
      </w:r>
    </w:p>
    <w:p w14:paraId="29E82897" w14:textId="5BED3BFF" w:rsidR="008241F9" w:rsidRPr="008241F9" w:rsidRDefault="008241F9" w:rsidP="008241F9">
      <w:pPr>
        <w:spacing w:line="480" w:lineRule="auto"/>
      </w:pPr>
      <w:r w:rsidRPr="008241F9">
        <w:t xml:space="preserve">Purpose limitation means personal information should be collected for specified, explicit, and legitimate purposes. Information collected to provide personalization should not automatically become a permanent resource for unrelated future uses. Data </w:t>
      </w:r>
      <w:r w:rsidR="003E4A5C" w:rsidRPr="008241F9">
        <w:t>minimization</w:t>
      </w:r>
      <w:r w:rsidRPr="008241F9">
        <w:t xml:space="preserve"> requires the information collected to be adequate, relevant, and limited to what is necessary for the stated purpose (Information Commissioner's Office [ICO], 2026a, 2026b).</w:t>
      </w:r>
    </w:p>
    <w:p w14:paraId="4A69E59F" w14:textId="77777777" w:rsidR="008241F9" w:rsidRPr="008241F9" w:rsidRDefault="008241F9" w:rsidP="008241F9">
      <w:pPr>
        <w:spacing w:line="480" w:lineRule="auto"/>
      </w:pPr>
      <w:r w:rsidRPr="008241F9">
        <w:t>This is where unlimited storage of raw user activity becomes difficult to defend. Keeping every interaction may make future model development easier, but convenience is not the same as necessity. The system should determine what information is actually needed for each purpose and establish retention periods. Metrics can then be used to understand model performance without keeping every individual action indefinitely.</w:t>
      </w:r>
    </w:p>
    <w:p w14:paraId="5B9AEA83" w14:textId="77777777" w:rsidR="008241F9" w:rsidRPr="008241F9" w:rsidRDefault="008241F9" w:rsidP="008241F9">
      <w:pPr>
        <w:spacing w:line="480" w:lineRule="auto"/>
      </w:pPr>
      <w:r w:rsidRPr="008241F9">
        <w:t>Transparency and the right to information are also important. Users should be able to understand what information is collected, why it is processed, and how personalization generally works. This does not mean providing users with proprietary source code. It means providing understandable information about the categories of information being processed, the purposes of processing, personalization, and the rights available to users (ICO, 2026c).</w:t>
      </w:r>
    </w:p>
    <w:p w14:paraId="6123970D" w14:textId="77777777" w:rsidR="008241F9" w:rsidRPr="008241F9" w:rsidRDefault="008241F9" w:rsidP="008241F9">
      <w:pPr>
        <w:spacing w:line="480" w:lineRule="auto"/>
      </w:pPr>
      <w:r w:rsidRPr="008241F9">
        <w:t xml:space="preserve">Accuracy, storage limitation, confidentiality, and accountability complete the requirements. Inaccurate information can produce inaccurate recommendations or assumptions. Personal information needs appropriate security controls. Information should not be retained longer than necessary for its purpose. </w:t>
      </w:r>
      <w:r w:rsidRPr="008241F9">
        <w:lastRenderedPageBreak/>
        <w:t>Accountability means the organization must be able to demonstrate that these requirements are being followed rather than only stating that the organization is compliant.</w:t>
      </w:r>
    </w:p>
    <w:p w14:paraId="5B6FB4D9" w14:textId="77777777" w:rsidR="008241F9" w:rsidRPr="008241F9" w:rsidRDefault="008241F9" w:rsidP="008241F9">
      <w:pPr>
        <w:spacing w:line="480" w:lineRule="auto"/>
      </w:pPr>
      <w:r w:rsidRPr="008241F9">
        <w:t>A Data Protection Impact Assessment (DPIA) should be part of the development process when processing is likely to create a high risk to individuals. The assessment should include a systematic description of the processing, its purpose, and the justified interest or other legal basis that supports the processing. It should also evaluate whether the processing is necessary and proportional to its purpose.</w:t>
      </w:r>
    </w:p>
    <w:p w14:paraId="6779C418" w14:textId="77777777" w:rsidR="008241F9" w:rsidRPr="008241F9" w:rsidRDefault="008241F9" w:rsidP="008241F9">
      <w:pPr>
        <w:spacing w:line="480" w:lineRule="auto"/>
      </w:pPr>
      <w:r w:rsidRPr="008241F9">
        <w:t>The DPIA should evaluate the risks processing creates for people's rights, including the right to privacy. For a personalization system, these risks could include inaccurate profiles, discriminatory recommendations, unauthorized access, excessive data collection, or information being retained longer than necessary. The assessment should then identify the measures selected to manage those risks (European Union, 2016; ICO, 2026d).</w:t>
      </w:r>
    </w:p>
    <w:p w14:paraId="4564AFB3" w14:textId="77777777" w:rsidR="008241F9" w:rsidRPr="008241F9" w:rsidRDefault="008241F9" w:rsidP="008241F9">
      <w:pPr>
        <w:spacing w:line="480" w:lineRule="auto"/>
      </w:pPr>
      <w:r w:rsidRPr="008241F9">
        <w:t>The DPIA should not be treated as paperwork completed after an AI system has already been developed. Engineering, AI, security, auditing, and legal personnel should be involved during development. This allows problems to be identified before deployment and gives the organization documentation showing why specific data, models, and safeguards were selected.</w:t>
      </w:r>
    </w:p>
    <w:p w14:paraId="3E125CD0" w14:textId="77777777" w:rsidR="008241F9" w:rsidRPr="008241F9" w:rsidRDefault="008241F9" w:rsidP="008241F9">
      <w:pPr>
        <w:spacing w:line="480" w:lineRule="auto"/>
      </w:pPr>
      <w:r w:rsidRPr="008241F9">
        <w:t>Privacy-preserving AI methods can be divided into three categories: methods that reduce the need for training data, methods that uphold data protection without reducing the basic dataset, and methods designed to avoid the black-box issue.</w:t>
      </w:r>
    </w:p>
    <w:p w14:paraId="617F6D21" w14:textId="77777777" w:rsidR="008241F9" w:rsidRPr="008241F9" w:rsidRDefault="008241F9" w:rsidP="008241F9">
      <w:pPr>
        <w:spacing w:line="480" w:lineRule="auto"/>
      </w:pPr>
      <w:r w:rsidRPr="008241F9">
        <w:t>The first category includes synthetic data and generative adversarial networks (GANs). GANs can generate artificial examples that may be useful for certain development and testing activities. This can reduce the need to use actual user records when individual information is not necessary. Synthetic data is not automatically private, so it still needs to be tested for possible identification or reproduction of sensitive information.</w:t>
      </w:r>
    </w:p>
    <w:p w14:paraId="708A7575" w14:textId="77777777" w:rsidR="008241F9" w:rsidRPr="008241F9" w:rsidRDefault="008241F9" w:rsidP="008241F9">
      <w:pPr>
        <w:spacing w:line="480" w:lineRule="auto"/>
      </w:pPr>
      <w:r w:rsidRPr="008241F9">
        <w:lastRenderedPageBreak/>
        <w:t>The second category includes differential privacy, federated learning, and homomorphic encryption. Differential privacy adds controlled statistical noise so individual users are more difficult to identify while useful analysis remains possible. Federated learning allows some model training to take place closer to where the data is generated instead of requiring all raw information to be centralized. Homomorphic encryption allows certain calculations to be performed on encrypted information without requiring the information to be decrypted during the calculation (National Institute of Standards and Technology [NIST], 2021).</w:t>
      </w:r>
    </w:p>
    <w:p w14:paraId="0AC90DFB" w14:textId="77777777" w:rsidR="008241F9" w:rsidRPr="008241F9" w:rsidRDefault="008241F9" w:rsidP="008241F9">
      <w:pPr>
        <w:spacing w:line="480" w:lineRule="auto"/>
      </w:pPr>
      <w:r w:rsidRPr="008241F9">
        <w:t>The third category involves XAI and tools such as LIME. These methods can make model behavior easier to examine and can help engineers investigate why a particular prediction occurred. These technologies should be combined with diverse training data, demographic testing, regular bias audits, and human review. No single privacy technology will solve every problem created by AI personalization.</w:t>
      </w:r>
    </w:p>
    <w:p w14:paraId="0E9060C2" w14:textId="77777777" w:rsidR="008241F9" w:rsidRPr="008241F9" w:rsidRDefault="008241F9" w:rsidP="008241F9">
      <w:pPr>
        <w:spacing w:line="480" w:lineRule="auto"/>
      </w:pPr>
      <w:r w:rsidRPr="008241F9">
        <w:t>The company should continue collecting information necessary for legitimate personalization and business functions. The change should be in what is collected, how long it is kept, and how it is used. Each category of data should have a documented purpose and retention period. Highly detailed information should receive additional review before being collected. Raw user activity should not be retained indefinitely just because it may be useful someday. Instead, the system should focus on metrics that capture AI inputs, outputs, performance, errors, and changes over time. These metrics can support auditing, trend analysis, troubleshooting, and model improvements without requiring an unlimited history of individual user activity.</w:t>
      </w:r>
    </w:p>
    <w:p w14:paraId="53DCAFB1" w14:textId="77777777" w:rsidR="008241F9" w:rsidRPr="008241F9" w:rsidRDefault="008241F9" w:rsidP="008241F9">
      <w:pPr>
        <w:spacing w:line="480" w:lineRule="auto"/>
      </w:pPr>
      <w:r w:rsidRPr="008241F9">
        <w:t xml:space="preserve">Sensitive information should be labeled appropriately, with personally identifiable information encrypted when stored and access limited to authorized personnel. Data should have documented deletion requirements, and information should be deleted or appropriately de-identified when the legitimate purpose ends. Internal auditing should measure GDPR compliance for teams working with European </w:t>
      </w:r>
      <w:r w:rsidRPr="008241F9">
        <w:lastRenderedPageBreak/>
        <w:t>users. New datasets should be reviewed by legal and privacy personnel before being used for training. Models should be tested for accuracy and bias before deployment and monitored afterward. DPIAs should also be reviewed when the purpose, dataset, or model changes. These changes allow personalization to continue while reducing unnecessary exposure of personal information.</w:t>
      </w:r>
    </w:p>
    <w:p w14:paraId="2965C33D" w14:textId="77777777" w:rsidR="008241F9" w:rsidRPr="008241F9" w:rsidRDefault="008241F9" w:rsidP="008241F9">
      <w:pPr>
        <w:spacing w:line="480" w:lineRule="auto"/>
      </w:pPr>
      <w:r w:rsidRPr="008241F9">
        <w:t>Neural networks provide an effective way to identify patterns and personalize the user experience, but the same technology can create privacy, fairness, and transparency concerns. The input layer receives information, the hidden layers process relationships and patterns, and the output layer produces a prediction. The prediction can make the platform more useful, but it can also affect what information a person sees and how the system understands that person. Black-box models make these concerns harder to investigate because the reasoning behind a prediction may not be clear. White-box and explainable approaches provide greater visibility, although neither guarantees that a system will be fair or unbiased.</w:t>
      </w:r>
    </w:p>
    <w:p w14:paraId="3FFFD3BA" w14:textId="0084D38A" w:rsidR="008241F9" w:rsidRPr="008241F9" w:rsidRDefault="008241F9" w:rsidP="008241F9">
      <w:pPr>
        <w:spacing w:line="480" w:lineRule="auto"/>
      </w:pPr>
      <w:r w:rsidRPr="008241F9">
        <w:t xml:space="preserve">GDPR compliance does not require the business model to abandon personalization. It requires the company to be more deliberate about the information being collected, the purpose for collecting it, and the length of time it is retained. Fairness, purpose limitation, data </w:t>
      </w:r>
      <w:r w:rsidR="007A6CE6" w:rsidRPr="008241F9">
        <w:t>minimization</w:t>
      </w:r>
      <w:r w:rsidRPr="008241F9">
        <w:t>, transparency, the right to information, accuracy, storage limitation, confidentiality, and accountability should be considered during the engineering process. The goal should be to collect the right information, use it for a defined purpose, protect it while it is being used, and retain useful metrics instead of unlimited raw data. This allows the AI system to continue improving while providing users with greater privacy and giving the organization a clearer way to demonstrate responsible use of AI.</w:t>
      </w:r>
    </w:p>
    <w:p w14:paraId="55379112" w14:textId="77777777" w:rsidR="00AB67B5" w:rsidRDefault="00AB67B5" w:rsidP="00AB67B5"/>
    <w:p w14:paraId="5E2B3968" w14:textId="77777777" w:rsidR="00AB67B5" w:rsidRDefault="00AB67B5" w:rsidP="00AB67B5"/>
    <w:p w14:paraId="0EACA5C8" w14:textId="77777777" w:rsidR="00AB67B5" w:rsidRDefault="00AB67B5" w:rsidP="00AB67B5"/>
    <w:p w14:paraId="6384C986" w14:textId="77777777" w:rsidR="00AB67B5" w:rsidRDefault="00AB67B5" w:rsidP="00AB67B5"/>
    <w:p w14:paraId="7FFA59FB" w14:textId="77777777" w:rsidR="00AB67B5" w:rsidRDefault="00AB67B5" w:rsidP="00AB67B5"/>
    <w:p w14:paraId="33D2AB94" w14:textId="77777777" w:rsidR="00AB67B5" w:rsidRDefault="00AB67B5" w:rsidP="00AB67B5"/>
    <w:p w14:paraId="715A299D" w14:textId="77777777" w:rsidR="00AB67B5" w:rsidRPr="00AB67B5" w:rsidRDefault="00AB67B5" w:rsidP="00AB67B5">
      <w:pPr>
        <w:rPr>
          <w:b/>
          <w:bCs/>
        </w:rPr>
      </w:pPr>
      <w:r w:rsidRPr="00AB67B5">
        <w:rPr>
          <w:b/>
          <w:bCs/>
        </w:rPr>
        <w:t>References</w:t>
      </w:r>
    </w:p>
    <w:p w14:paraId="2AFB5E27" w14:textId="77777777" w:rsidR="00AB67B5" w:rsidRPr="00AB67B5" w:rsidRDefault="00AB67B5" w:rsidP="00AB67B5">
      <w:r w:rsidRPr="00AB67B5">
        <w:rPr>
          <w:i/>
          <w:iCs/>
        </w:rPr>
        <w:t>Insert a page break before this section so the references begin on page 6.</w:t>
      </w:r>
    </w:p>
    <w:p w14:paraId="0857CA39" w14:textId="77777777" w:rsidR="00AB67B5" w:rsidRPr="00AB67B5" w:rsidRDefault="00AB67B5" w:rsidP="00AB67B5">
      <w:proofErr w:type="spellStart"/>
      <w:r w:rsidRPr="00AB67B5">
        <w:t>Buolamwini</w:t>
      </w:r>
      <w:proofErr w:type="spellEnd"/>
      <w:r w:rsidRPr="00AB67B5">
        <w:t xml:space="preserve">, J., &amp; Gebru, T. (2018). Gender shades: Intersectional accuracy disparities in commercial gender classification. </w:t>
      </w:r>
      <w:r w:rsidRPr="00AB67B5">
        <w:rPr>
          <w:i/>
          <w:iCs/>
        </w:rPr>
        <w:t>Proceedings of Machine Learning Research, 81</w:t>
      </w:r>
      <w:r w:rsidRPr="00AB67B5">
        <w:t>, 77–91. https://doi.org/10.48550/arXiv.1710.8403</w:t>
      </w:r>
    </w:p>
    <w:p w14:paraId="2AF5AE32" w14:textId="77777777" w:rsidR="00AB67B5" w:rsidRPr="00AB67B5" w:rsidRDefault="00AB67B5" w:rsidP="00AB67B5">
      <w:r w:rsidRPr="00AB67B5">
        <w:t xml:space="preserve">European Data Protection Board. (2026). </w:t>
      </w:r>
      <w:r w:rsidRPr="00AB67B5">
        <w:rPr>
          <w:i/>
          <w:iCs/>
        </w:rPr>
        <w:t>Data protection impact assessment</w:t>
      </w:r>
      <w:r w:rsidRPr="00AB67B5">
        <w:t>. European Data Protection Board: Data Protection Impact Assessment</w:t>
      </w:r>
    </w:p>
    <w:p w14:paraId="2E288490" w14:textId="77777777" w:rsidR="00AB67B5" w:rsidRPr="00AB67B5" w:rsidRDefault="00AB67B5" w:rsidP="00AB67B5">
      <w:r w:rsidRPr="00AB67B5">
        <w:t xml:space="preserve">European Union. (2016). </w:t>
      </w:r>
      <w:r w:rsidRPr="00AB67B5">
        <w:rPr>
          <w:i/>
          <w:iCs/>
        </w:rPr>
        <w:t>Regulation (EU) 2016/679 (General Data Protection Regulation)</w:t>
      </w:r>
      <w:r w:rsidRPr="00AB67B5">
        <w:t xml:space="preserve">. </w:t>
      </w:r>
      <w:r w:rsidRPr="00AB67B5">
        <w:rPr>
          <w:i/>
          <w:iCs/>
        </w:rPr>
        <w:t>Official Journal of the European Union</w:t>
      </w:r>
      <w:r w:rsidRPr="00AB67B5">
        <w:t>. General Data Protection Regulation—Official Legal Text</w:t>
      </w:r>
    </w:p>
    <w:p w14:paraId="63725E54" w14:textId="77777777" w:rsidR="00AB67B5" w:rsidRPr="00AB67B5" w:rsidRDefault="00AB67B5" w:rsidP="00AB67B5">
      <w:r w:rsidRPr="00AB67B5">
        <w:t xml:space="preserve">Information Commissioner's Office. (2026). </w:t>
      </w:r>
      <w:r w:rsidRPr="00AB67B5">
        <w:rPr>
          <w:i/>
          <w:iCs/>
        </w:rPr>
        <w:t>A guide to the data protection principles</w:t>
      </w:r>
      <w:r w:rsidRPr="00AB67B5">
        <w:t>. UK GDPR: Data Protection Principles</w:t>
      </w:r>
    </w:p>
    <w:p w14:paraId="3599AA70" w14:textId="77777777" w:rsidR="00AB67B5" w:rsidRPr="00AB67B5" w:rsidRDefault="00AB67B5" w:rsidP="00AB67B5">
      <w:r w:rsidRPr="00AB67B5">
        <w:t xml:space="preserve">Information Commissioner's Office. (2026). </w:t>
      </w:r>
      <w:r w:rsidRPr="00AB67B5">
        <w:rPr>
          <w:i/>
          <w:iCs/>
        </w:rPr>
        <w:t>How do we ensure fairness in AI?</w:t>
      </w:r>
      <w:r w:rsidRPr="00AB67B5">
        <w:t xml:space="preserve"> ICO: Fairness in AI</w:t>
      </w:r>
    </w:p>
    <w:p w14:paraId="632C5012" w14:textId="77777777" w:rsidR="00AB67B5" w:rsidRPr="00AB67B5" w:rsidRDefault="00AB67B5" w:rsidP="00AB67B5">
      <w:r w:rsidRPr="00AB67B5">
        <w:t xml:space="preserve">Information Commissioner's Office. (2026). </w:t>
      </w:r>
      <w:r w:rsidRPr="00AB67B5">
        <w:rPr>
          <w:i/>
          <w:iCs/>
        </w:rPr>
        <w:t xml:space="preserve">How should we assess security and data </w:t>
      </w:r>
      <w:proofErr w:type="spellStart"/>
      <w:r w:rsidRPr="00AB67B5">
        <w:rPr>
          <w:i/>
          <w:iCs/>
        </w:rPr>
        <w:t>minimisation</w:t>
      </w:r>
      <w:proofErr w:type="spellEnd"/>
      <w:r w:rsidRPr="00AB67B5">
        <w:rPr>
          <w:i/>
          <w:iCs/>
        </w:rPr>
        <w:t xml:space="preserve"> in AI?</w:t>
      </w:r>
      <w:r w:rsidRPr="00AB67B5">
        <w:t xml:space="preserve"> ICO: Security and Data </w:t>
      </w:r>
      <w:proofErr w:type="spellStart"/>
      <w:r w:rsidRPr="00AB67B5">
        <w:t>Minimisation</w:t>
      </w:r>
      <w:proofErr w:type="spellEnd"/>
      <w:r w:rsidRPr="00AB67B5">
        <w:t xml:space="preserve"> in AI</w:t>
      </w:r>
    </w:p>
    <w:p w14:paraId="3608A406" w14:textId="77777777" w:rsidR="00AB67B5" w:rsidRPr="00AB67B5" w:rsidRDefault="00AB67B5" w:rsidP="00AB67B5">
      <w:r w:rsidRPr="00AB67B5">
        <w:t xml:space="preserve">Information Commissioner's Office. (2026). </w:t>
      </w:r>
      <w:r w:rsidRPr="00AB67B5">
        <w:rPr>
          <w:i/>
          <w:iCs/>
        </w:rPr>
        <w:t>Explaining decisions made with artificial intelligence</w:t>
      </w:r>
      <w:r w:rsidRPr="00AB67B5">
        <w:t>. ICO: Explaining AI Decisions</w:t>
      </w:r>
    </w:p>
    <w:p w14:paraId="048939B9" w14:textId="77777777" w:rsidR="00AB67B5" w:rsidRPr="00AB67B5" w:rsidRDefault="00AB67B5" w:rsidP="00AB67B5">
      <w:r w:rsidRPr="00AB67B5">
        <w:t xml:space="preserve">National Institute of Standards and Technology. (2022). </w:t>
      </w:r>
      <w:r w:rsidRPr="00AB67B5">
        <w:rPr>
          <w:i/>
          <w:iCs/>
        </w:rPr>
        <w:t>Towards a standard for identifying and managing bias in artificial intelligence (NIST SP 1270)</w:t>
      </w:r>
      <w:r w:rsidRPr="00AB67B5">
        <w:t>. U.S. Department of Commerce. NIST: Managing AI Bias</w:t>
      </w:r>
    </w:p>
    <w:p w14:paraId="1F7822E2" w14:textId="77777777" w:rsidR="00AB67B5" w:rsidRPr="00AB67B5" w:rsidRDefault="00AB67B5" w:rsidP="00AB67B5">
      <w:r w:rsidRPr="00AB67B5">
        <w:t xml:space="preserve">Ribeiro, M. T., Singh, S., &amp; </w:t>
      </w:r>
      <w:proofErr w:type="spellStart"/>
      <w:r w:rsidRPr="00AB67B5">
        <w:t>Guestrin</w:t>
      </w:r>
      <w:proofErr w:type="spellEnd"/>
      <w:r w:rsidRPr="00AB67B5">
        <w:t xml:space="preserve">, C. (2016). “Why should I trust you?”: Explaining the predictions of any classifier. </w:t>
      </w:r>
      <w:r w:rsidRPr="00AB67B5">
        <w:rPr>
          <w:i/>
          <w:iCs/>
        </w:rPr>
        <w:t>Proceedings of the 22nd ACM SIGKDD International Conference on Knowledge Discovery and Data Mining</w:t>
      </w:r>
      <w:r w:rsidRPr="00AB67B5">
        <w:t>, 1135–1144. https://doi.org/10.1145/2939672.2939778</w:t>
      </w:r>
    </w:p>
    <w:p w14:paraId="759210DE" w14:textId="77777777" w:rsidR="00AB67B5" w:rsidRPr="00AB67B5" w:rsidRDefault="00AB67B5" w:rsidP="00AB67B5"/>
    <w:p w14:paraId="00AF10A9" w14:textId="77777777" w:rsidR="00F91722" w:rsidRPr="00F91722" w:rsidRDefault="00F91722" w:rsidP="00F91722"/>
    <w:sectPr w:rsidR="00F91722" w:rsidRPr="00F917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45D54"/>
    <w:multiLevelType w:val="multilevel"/>
    <w:tmpl w:val="4F24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46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722"/>
    <w:rsid w:val="000A1C01"/>
    <w:rsid w:val="000D0F3C"/>
    <w:rsid w:val="000D5B2B"/>
    <w:rsid w:val="001230EF"/>
    <w:rsid w:val="00126E89"/>
    <w:rsid w:val="002568FF"/>
    <w:rsid w:val="002D18A7"/>
    <w:rsid w:val="003C1600"/>
    <w:rsid w:val="003D4AEF"/>
    <w:rsid w:val="003E4A5C"/>
    <w:rsid w:val="003E7C5B"/>
    <w:rsid w:val="0044071F"/>
    <w:rsid w:val="00475E1E"/>
    <w:rsid w:val="005370F3"/>
    <w:rsid w:val="007A0413"/>
    <w:rsid w:val="007A64DF"/>
    <w:rsid w:val="007A6CE6"/>
    <w:rsid w:val="008241F9"/>
    <w:rsid w:val="00850299"/>
    <w:rsid w:val="009007F4"/>
    <w:rsid w:val="009561A9"/>
    <w:rsid w:val="0096007E"/>
    <w:rsid w:val="009E7115"/>
    <w:rsid w:val="00A90A20"/>
    <w:rsid w:val="00AB67B5"/>
    <w:rsid w:val="00AF3C6B"/>
    <w:rsid w:val="00B517A7"/>
    <w:rsid w:val="00C80A53"/>
    <w:rsid w:val="00D01B6E"/>
    <w:rsid w:val="00DE653E"/>
    <w:rsid w:val="00E76A77"/>
    <w:rsid w:val="00F91722"/>
    <w:rsid w:val="00FD3E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73CFD"/>
  <w15:chartTrackingRefBased/>
  <w15:docId w15:val="{0B421860-552B-4459-82CA-AB101ED2B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7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17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17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17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17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1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7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17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17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17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17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1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722"/>
    <w:rPr>
      <w:rFonts w:eastAsiaTheme="majorEastAsia" w:cstheme="majorBidi"/>
      <w:color w:val="272727" w:themeColor="text1" w:themeTint="D8"/>
    </w:rPr>
  </w:style>
  <w:style w:type="paragraph" w:styleId="Title">
    <w:name w:val="Title"/>
    <w:basedOn w:val="Normal"/>
    <w:next w:val="Normal"/>
    <w:link w:val="TitleChar"/>
    <w:uiPriority w:val="10"/>
    <w:qFormat/>
    <w:rsid w:val="00F91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7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722"/>
    <w:pPr>
      <w:spacing w:before="160"/>
      <w:jc w:val="center"/>
    </w:pPr>
    <w:rPr>
      <w:i/>
      <w:iCs/>
      <w:color w:val="404040" w:themeColor="text1" w:themeTint="BF"/>
    </w:rPr>
  </w:style>
  <w:style w:type="character" w:customStyle="1" w:styleId="QuoteChar">
    <w:name w:val="Quote Char"/>
    <w:basedOn w:val="DefaultParagraphFont"/>
    <w:link w:val="Quote"/>
    <w:uiPriority w:val="29"/>
    <w:rsid w:val="00F91722"/>
    <w:rPr>
      <w:i/>
      <w:iCs/>
      <w:color w:val="404040" w:themeColor="text1" w:themeTint="BF"/>
    </w:rPr>
  </w:style>
  <w:style w:type="paragraph" w:styleId="ListParagraph">
    <w:name w:val="List Paragraph"/>
    <w:basedOn w:val="Normal"/>
    <w:uiPriority w:val="34"/>
    <w:qFormat/>
    <w:rsid w:val="00F91722"/>
    <w:pPr>
      <w:ind w:left="720"/>
      <w:contextualSpacing/>
    </w:pPr>
  </w:style>
  <w:style w:type="character" w:styleId="IntenseEmphasis">
    <w:name w:val="Intense Emphasis"/>
    <w:basedOn w:val="DefaultParagraphFont"/>
    <w:uiPriority w:val="21"/>
    <w:qFormat/>
    <w:rsid w:val="00F91722"/>
    <w:rPr>
      <w:i/>
      <w:iCs/>
      <w:color w:val="2F5496" w:themeColor="accent1" w:themeShade="BF"/>
    </w:rPr>
  </w:style>
  <w:style w:type="paragraph" w:styleId="IntenseQuote">
    <w:name w:val="Intense Quote"/>
    <w:basedOn w:val="Normal"/>
    <w:next w:val="Normal"/>
    <w:link w:val="IntenseQuoteChar"/>
    <w:uiPriority w:val="30"/>
    <w:qFormat/>
    <w:rsid w:val="00F917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1722"/>
    <w:rPr>
      <w:i/>
      <w:iCs/>
      <w:color w:val="2F5496" w:themeColor="accent1" w:themeShade="BF"/>
    </w:rPr>
  </w:style>
  <w:style w:type="character" w:styleId="IntenseReference">
    <w:name w:val="Intense Reference"/>
    <w:basedOn w:val="DefaultParagraphFont"/>
    <w:uiPriority w:val="32"/>
    <w:qFormat/>
    <w:rsid w:val="00F91722"/>
    <w:rPr>
      <w:b/>
      <w:bCs/>
      <w:smallCaps/>
      <w:color w:val="2F5496" w:themeColor="accent1" w:themeShade="BF"/>
      <w:spacing w:val="5"/>
    </w:rPr>
  </w:style>
  <w:style w:type="paragraph" w:styleId="Date">
    <w:name w:val="Date"/>
    <w:basedOn w:val="Normal"/>
    <w:next w:val="Normal"/>
    <w:link w:val="DateChar"/>
    <w:uiPriority w:val="99"/>
    <w:semiHidden/>
    <w:unhideWhenUsed/>
    <w:rsid w:val="00F91722"/>
  </w:style>
  <w:style w:type="character" w:customStyle="1" w:styleId="DateChar">
    <w:name w:val="Date Char"/>
    <w:basedOn w:val="DefaultParagraphFont"/>
    <w:link w:val="Date"/>
    <w:uiPriority w:val="99"/>
    <w:semiHidden/>
    <w:rsid w:val="00F917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86</TotalTime>
  <Pages>9</Pages>
  <Words>2653</Words>
  <Characters>15128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O'Connell</dc:creator>
  <cp:keywords/>
  <dc:description/>
  <cp:lastModifiedBy>Kaitlyn O'Connell</cp:lastModifiedBy>
  <cp:revision>29</cp:revision>
  <dcterms:created xsi:type="dcterms:W3CDTF">2026-09-26T00:10:00Z</dcterms:created>
  <dcterms:modified xsi:type="dcterms:W3CDTF">2026-09-26T16:53:00Z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daaabe3b-6771-4c48-8799-02bc61a3f2e0</vt:lpwstr>
  </property>
</Properties>
</file>