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0F4C5C"/>
          <w:sz w:val="72"/>
          <w:szCs w:val="72"/>
        </w:rPr>
        <w:t xml:space="preserve">LASTENHEFT</w:t>
      </w:r>
    </w:p>
    <w:p>
      <w:pPr>
        <w:spacing w:after="100"/>
        <w:jc w:val="center"/>
      </w:pPr>
      <w:r>
        <w:rPr>
          <w:b/>
          <w:bCs/>
          <w:color w:val="E36414"/>
          <w:sz w:val="36"/>
          <w:szCs w:val="36"/>
        </w:rPr>
        <w:t xml:space="preserve">Persönliche Finanzen</w:t>
      </w:r>
    </w:p>
    <w:p>
      <w:pPr>
        <w:spacing w:after="1800"/>
        <w:jc w:val="center"/>
      </w:pPr>
      <w:r>
        <w:rPr>
          <w:i/>
          <w:iCs/>
          <w:color w:val="555555"/>
          <w:sz w:val="24"/>
          <w:szCs w:val="24"/>
        </w:rPr>
        <w:t xml:space="preserve">Web-Anwendung zur Verwaltung von Verbindlichkeiten, Einkünften, Ausgaben, Investments und Aktienplänen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Auftraggeber:</w:t>
      </w:r>
    </w:p>
    <w:p>
      <w:pPr>
        <w:spacing w:after="240"/>
        <w:jc w:val="center"/>
      </w:pPr>
      <w:r>
        <w:rPr>
          <w:sz w:val="24"/>
          <w:szCs w:val="24"/>
        </w:rPr>
        <w:t xml:space="preserve">[Name des Auftraggebers]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Erstellt am:</w:t>
      </w:r>
    </w:p>
    <w:p>
      <w:pPr>
        <w:spacing w:after="240"/>
        <w:jc w:val="center"/>
      </w:pPr>
      <w:r>
        <w:rPr>
          <w:sz w:val="24"/>
          <w:szCs w:val="24"/>
        </w:rPr>
        <w:t xml:space="preserve">18. Mai 2026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Version:</w:t>
      </w:r>
    </w:p>
    <w:p>
      <w:pPr>
        <w:spacing w:after="240"/>
        <w:jc w:val="center"/>
      </w:pPr>
      <w:r>
        <w:rPr>
          <w:sz w:val="24"/>
          <w:szCs w:val="24"/>
        </w:rPr>
        <w:t xml:space="preserve">1.0 (Entwurf)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Status:</w:t>
      </w:r>
    </w:p>
    <w:p>
      <w:pPr>
        <w:spacing w:after="240"/>
        <w:jc w:val="center"/>
      </w:pPr>
      <w:r>
        <w:rPr>
          <w:sz w:val="24"/>
          <w:szCs w:val="24"/>
        </w:rPr>
        <w:t xml:space="preserve">In Abstimmung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1. Einleitung</w:t>
      </w:r>
    </w:p>
    <w:p>
      <w:pPr>
        <w:pStyle w:val="Heading2"/>
      </w:pPr>
      <w:r>
        <w:t xml:space="preserve">1.1 Zweck des Dokuments</w:t>
      </w:r>
    </w:p>
    <w:p>
      <w:pPr>
        <w:spacing w:after="120" w:line="300"/>
        <w:jc w:val="both"/>
      </w:pPr>
      <w:r>
        <w:t xml:space="preserve">Dieses Lastenheft beschreibt die Anforderungen an eine Web-Anwendung („Web-App“) zur Verwaltung der persönlichen Finanzen. Die Lösung soll über eine Web-URL erreichbar sein und nach Eingabe eines sechsstelligen Zahlencodes Zugriff auf die persönlichen Finanzdaten gewähren.</w:t>
      </w:r>
    </w:p>
    <w:p>
      <w:pPr>
        <w:spacing w:after="120" w:line="300"/>
        <w:jc w:val="both"/>
      </w:pPr>
      <w:r>
        <w:t xml:space="preserve">Das Dokument dient als verbindliche Grundlage für die Erstellung eines Pflichtenhefts durch den Auftragnehmer sowie für die spätere Umsetzung und Abnahme der Software.</w:t>
      </w:r>
    </w:p>
    <w:p>
      <w:pPr>
        <w:pStyle w:val="Heading2"/>
      </w:pPr>
      <w:r>
        <w:t xml:space="preserve">1.2 Zielsetzung</w:t>
      </w:r>
    </w:p>
    <w:p>
      <w:pPr>
        <w:spacing w:after="120" w:line="300"/>
        <w:jc w:val="both"/>
      </w:pPr>
      <w:r>
        <w:t xml:space="preserve">Ziel ist eine einfache, sichere und übersichtliche Anwendung, mit der die finanzielle Gesamtsituation auf einen Blick erfasst werden kann. Folgende Kernbereiche werden in eigenen Rubriken abgebildet: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Zugang: </w:t>
      </w:r>
      <w:r>
        <w:t xml:space="preserve">Sicherer Login per sechsstelligem Zahlencode über eine Web-URL.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Kurzfristige Verbindlichkeiten: </w:t>
      </w:r>
      <w:r>
        <w:t xml:space="preserve">Schulden / offene Posten mit Fälligkeit innerhalb von 12 Monaten.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Langfristige Verbindlichkeiten: </w:t>
      </w:r>
      <w:r>
        <w:t xml:space="preserve">Schulden mit Laufzeit über 12 Monaten (Hypotheken, Kredite, Leasing).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Monatliche Geldeinkünfte: </w:t>
      </w:r>
      <w:r>
        <w:t xml:space="preserve">Lohn, Boni, Mieterträge, Dividenden, sonstige Einkünfte.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Monatliche Geldausgaben: </w:t>
      </w:r>
      <w:r>
        <w:t xml:space="preserve">Wiederkehrende Ausgaben (Miete, Versicherungen, Abos, Lebenshaltung).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Investments: </w:t>
      </w:r>
      <w:r>
        <w:t xml:space="preserve">Wertschriften, Fonds, ETFs, Kryptowährungen, Vorsorge (Säule 3a).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Aktienpläne: </w:t>
      </w:r>
      <w:r>
        <w:t xml:space="preserve">Mitarbeiterbeteiligungen wie RSU, PSU, ESOP, ESPP inkl. Vesting-Plänen.</w:t>
      </w:r>
    </w:p>
    <w:p>
      <w:r>
        <w:t xml:space="preserve"> </w:t>
      </w:r>
    </w:p>
    <w:p>
      <w:pPr>
        <w:spacing w:after="120" w:line="300"/>
        <w:jc w:val="both"/>
      </w:pPr>
      <w:r>
        <w:t xml:space="preserve">Auf Basis dieser Module berechnet die Anwendung kontinuierlich Kennzahlen wie Netto-Vermögen, monatlichen Cashflow, Sparquote und Schuldendienstquote.</w:t>
      </w:r>
    </w:p>
    <w:p>
      <w:pPr>
        <w:pStyle w:val="Heading2"/>
      </w:pPr>
      <w:r>
        <w:t xml:space="preserve">1.3 Zielgruppe und Anwender</w:t>
      </w:r>
    </w:p>
    <w:p>
      <w:pPr>
        <w:spacing w:after="120" w:line="300"/>
        <w:jc w:val="both"/>
      </w:pPr>
      <w:r>
        <w:t xml:space="preserve">Primärer Anwender ist eine Einzelperson, die ihre Finanzen strukturiert führen möchte. Eine spätere Erweiterung um weitere Personen (z. B. Partner / Familie) als zusätzliche Profile ist als KANN-Anforderung vorgesehen.</w:t>
      </w:r>
    </w:p>
    <w:p>
      <w:pPr>
        <w:pStyle w:val="Heading2"/>
      </w:pPr>
      <w:r>
        <w:t xml:space="preserve">1.4 Geltungsbereich</w:t>
      </w:r>
    </w:p>
    <w:p>
      <w:pPr>
        <w:spacing w:after="120" w:line="300"/>
        <w:jc w:val="both"/>
      </w:pPr>
      <w:r>
        <w:t xml:space="preserve">Das Lastenheft umfasst die fachlichen und technischen Anforderungen an die zu erstellende Software. Nicht Bestandteil dieses Dokuments sind die kommerziellen Konditionen sowie detaillierte technische Designentscheidungen – diese werden im Pflichtenheft bzw. im Vertrag geregelt.</w:t>
      </w:r>
    </w:p>
    <w:p>
      <w:pPr>
        <w:pStyle w:val="Heading2"/>
      </w:pPr>
      <w:r>
        <w:t xml:space="preserve">1.5 Begriffe und Abkürzungen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0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Feld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Pflicht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Beschreibung / Beispiel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Web-App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Begriff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Web-basierte Anwendung, im Browser nutzbar (kein Download nötig)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Zahlencode (PIN)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Begriff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Sechsstellige Ziffernfolge zur Anmeldung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Kurzfristige Verbindlichkeit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Begriff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Verbindlichkeit mit Fälligkeit ≤ 12 Monate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Langfristige Verbindlichkeit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Begriff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Verbindlichkeit mit Laufzeit &gt; 12 Monate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Cashflow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Begriff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Differenz aus monatlichen Einkünften und Ausgaben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Netto-Vermögen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Begriff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Vermögen + Investments – Verbindlichkeiten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RSU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Abkürzung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Restricted Stock Unit – Mitarbeiteraktien mit Vesting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PSU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Abkürzung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Performance Stock Unit – an Leistung gekoppelte Aktien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ESPP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Abkürzung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Employee Stock Purchase Plan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Vesting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Begriff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Zeitlicher Reifeprozess, bis Aktien rechtlich übergehen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2FA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Abkürzung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Zwei-Faktor-Authentisierung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revDSG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Abkürzung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Revidiertes Schweizer Datenschutzgesetz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DSGVO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Abkürzung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EU-Datenschutz-Grundverordnung</w:t>
            </w:r>
          </w:p>
        </w:tc>
      </w:tr>
    </w:tbl>
    <w:p>
      <w:pPr>
        <w:pStyle w:val="Heading1"/>
        <w:pageBreakBefore/>
      </w:pPr>
      <w:r>
        <w:t xml:space="preserve">2. Ausgangssituation und Ist-Analyse</w:t>
      </w:r>
    </w:p>
    <w:p>
      <w:pPr>
        <w:pStyle w:val="Heading2"/>
      </w:pPr>
      <w:r>
        <w:t xml:space="preserve">2.1 Ist-Zustand</w:t>
      </w:r>
    </w:p>
    <w:p>
      <w:pPr>
        <w:spacing w:after="120" w:line="300"/>
        <w:jc w:val="both"/>
      </w:pPr>
      <w:r>
        <w:t xml:space="preserve">Die persönlichen Finanzen werden bislang über mehrere getrennte Quellen geführt – z. B. Excel-Tabellen, E-Banking-Auszüge, Notizen oder Apps der jeweiligen Anbieter (Broker, Versicherung). Dies führt zu folgenden Schwächen: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Keine zentrale Sicht auf das gesamte Vermögen und die Verbindlichkeiten.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Cashflow und Sparquote sind nur mit grossem Aufwand ermittelbar.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Mitarbeiteraktien und Vesting-Pläne werden nicht systematisch nachverfolgt.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Fälligkeiten kurzfristiger Verbindlichkeiten können übersehen werden.</w:t>
      </w:r>
    </w:p>
    <w:p>
      <w:pPr>
        <w:pStyle w:val="Heading2"/>
      </w:pPr>
      <w:r>
        <w:t xml:space="preserve">2.2 Soll-Zustand</w:t>
      </w:r>
    </w:p>
    <w:p>
      <w:pPr>
        <w:spacing w:after="120" w:line="300"/>
        <w:jc w:val="both"/>
      </w:pPr>
      <w:r>
        <w:t xml:space="preserve">Mit der neuen Web-App entsteht eine zentrale, jederzeit erreichbare Anwendung, die alle Finanzbereiche bündelt und Kennzahlen in Echtzeit berechnet. Der Zugang erfolgt einfach über eine Web-URL und einen sechsstelligen Zahlencode.</w:t>
      </w:r>
    </w:p>
    <w:p>
      <w:pPr>
        <w:pStyle w:val="Heading2"/>
      </w:pPr>
      <w:r>
        <w:t xml:space="preserve">2.3 Abgrenzung</w:t>
      </w:r>
    </w:p>
    <w:p>
      <w:pPr>
        <w:spacing w:after="120" w:line="300"/>
        <w:jc w:val="both"/>
      </w:pPr>
      <w:r>
        <w:t xml:space="preserve">Folgende Funktionen sind ausdrücklich nicht Bestandteil der ersten Ausbaustufe (MVP), können aber in späteren Releases ergänzt werden: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Automatischer Bankabgleich / Open Banking (PSD2)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Steuererklärung und steuerliche Optimierung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Anlage-Beratung oder regulierte Finanzdienstleistungen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Mehrwährungs-Konsolidierung mit Live-Wechselkursen (in Stufe 2 möglich)</w:t>
      </w:r>
    </w:p>
    <w:p>
      <w:pPr>
        <w:pStyle w:val="Heading1"/>
        <w:pageBreakBefore/>
      </w:pPr>
      <w:r>
        <w:t xml:space="preserve">3. Projektziele</w:t>
      </w:r>
    </w:p>
    <w:p>
      <w:pPr>
        <w:pStyle w:val="Heading2"/>
      </w:pPr>
      <w:r>
        <w:t xml:space="preserve">3.1 Wirtschaftliche und persönliche Ziele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Vollständige Übersicht über das Netto-Vermögen jederzeit verfügbar.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Frühzeitiges Erkennen von Liquiditätsengpässen durch klare Fälligkeitsübersicht.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Bewusstere Sparentscheidungen durch Sichtbarkeit der Sparquote.</w:t>
      </w:r>
    </w:p>
    <w:p>
      <w:pPr>
        <w:pStyle w:val="Heading2"/>
      </w:pPr>
      <w:r>
        <w:t xml:space="preserve">3.2 Qualitative Ziele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Einfache, schnelle Erfassung von Einträgen – auch unterwegs.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Hohe Datensicherheit, da hochsensible Finanzdaten verarbeitet werden.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Konformität mit revDSG (Schweiz) und – sofern relevant – DSGVO.</w:t>
      </w:r>
    </w:p>
    <w:p>
      <w:pPr>
        <w:pStyle w:val="Heading2"/>
      </w:pPr>
      <w:r>
        <w:t xml:space="preserve">3.3 Erfolgskriterien (Messgrössen)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Alle Module sind produktiv im Einsatz und werden mindestens einmal pro Woche genutzt.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Stabile Verfügbarkeit von ≥ 99,5 % im Monat.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Kennzahlen (Netto-Vermögen, Cashflow, Sparquote) werden korrekt berechnet und stimmen mit Stichproben überein.</w:t>
      </w:r>
    </w:p>
    <w:p>
      <w:pPr>
        <w:pStyle w:val="Heading1"/>
        <w:pageBreakBefore/>
      </w:pPr>
      <w:r>
        <w:t xml:space="preserve">4. Funktionale Anforderungen</w:t>
      </w:r>
    </w:p>
    <w:p>
      <w:pPr>
        <w:spacing w:after="120" w:line="300"/>
        <w:jc w:val="both"/>
      </w:pPr>
      <w:r>
        <w:t xml:space="preserve">Die funktionalen Anforderungen sind in einzelne Module (Rubriken) gegliedert. Jede Anforderung erhält eine eindeutige ID und eine Priorität (MUSS / SOLL / KANN).</w:t>
      </w:r>
    </w:p>
    <w:p>
      <w:pPr>
        <w:pStyle w:val="Heading2"/>
      </w:pPr>
      <w:r>
        <w:t xml:space="preserve">4.1 Rubrik 1 – Zugang über Web-URL und Zahlencode</w:t>
      </w:r>
    </w:p>
    <w:p>
      <w:pPr>
        <w:spacing w:after="120" w:line="300"/>
        <w:jc w:val="both"/>
      </w:pPr>
      <w:r>
        <w:t xml:space="preserve">Der Zugriff auf die Anwendung erfolgt über eine fest definierte Web-URL. Nach Aufruf der URL wird der Anwender zu einer Login-Maske geleitet, in die ein sechsstelliger Zahlencode (PIN) eingegeben wird.</w:t>
      </w:r>
    </w:p>
    <w:p>
      <w:pPr>
        <w:pStyle w:val="Heading3"/>
      </w:pPr>
      <w:r>
        <w:t xml:space="preserve">4.1.1 Funktionsablauf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Anwender ruft die URL im Browser auf (Desktop, Tablet, Smartphone).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Eingabemaske zeigt sechs Felder für jeweils eine Ziffer (0–9).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Eingabe wird beim Tippen verdeckt dargestellt (analog Smartphone-PIN).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Nach Eingabe der 6 Ziffern erfolgt automatische Prüfung.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Bei korrekter Eingabe Weiterleitung zum Dashboard.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Bei falscher Eingabe Fehlermeldung, Felder werden zurückgesetzt.</w:t>
      </w:r>
    </w:p>
    <w:p>
      <w:pPr>
        <w:pStyle w:val="Heading3"/>
      </w:pPr>
      <w:r>
        <w:t xml:space="preserve">4.1.2 Anforderungen Modul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Anforderung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Priorität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F-Z-01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Die Anwendung ist über eine konfigurierbare Web-URL erreichbar (z. B. eigene Domain).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B00020"/>
                <w:sz w:val="22"/>
                <w:szCs w:val="22"/>
              </w:rPr>
              <w:t xml:space="preserve">MUSS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F-Z-02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Der Login erfolgt ausschliesslich über einen sechsstelligen Zahlencode.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B00020"/>
                <w:sz w:val="22"/>
                <w:szCs w:val="22"/>
              </w:rPr>
              <w:t xml:space="preserve">MUSS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F-Z-03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Der Zahlencode wird ausschliesslich verschlüsselt (Hash, z. B. bcrypt/argon2) gespeichert – nie im Klartext.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B00020"/>
                <w:sz w:val="22"/>
                <w:szCs w:val="22"/>
              </w:rPr>
              <w:t xml:space="preserve">MUSS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F-Z-04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Brute-Force-Schutz: Nach 5 Fehlversuchen wird der Zugang für mindestens 15 Minuten gesperrt.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B00020"/>
                <w:sz w:val="22"/>
                <w:szCs w:val="22"/>
              </w:rPr>
              <w:t xml:space="preserve">MUSS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F-Z-05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Optionale Zwei-Faktor-Authentisierung (z. B. TOTP via Authenticator-App) zusätzlich zum PIN.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8A6D00"/>
                <w:sz w:val="22"/>
                <w:szCs w:val="22"/>
              </w:rPr>
              <w:t xml:space="preserve">SOLL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F-Z-06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Geräte-Erkennung: Anmeldungen von neuen Geräten lösen eine zusätzliche Bestätigung per E-Mail aus.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8A6D00"/>
                <w:sz w:val="22"/>
                <w:szCs w:val="22"/>
              </w:rPr>
              <w:t xml:space="preserve">SOLL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F-Z-07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Automatische Abmeldung nach 15 Minuten Inaktivität.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B00020"/>
                <w:sz w:val="22"/>
                <w:szCs w:val="22"/>
              </w:rPr>
              <w:t xml:space="preserve">MUSS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F-Z-08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Möglichkeit, den Zahlencode jederzeit innerhalb der Anwendung zu ändern (alte PIN + neue PIN).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B00020"/>
                <w:sz w:val="22"/>
                <w:szCs w:val="22"/>
              </w:rPr>
              <w:t xml:space="preserve">MUSS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F-Z-09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Recovery-Verfahren: Hinterlegte E-Mail-Adresse erhält bei Bedarf einen Reset-Link.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B00020"/>
                <w:sz w:val="22"/>
                <w:szCs w:val="22"/>
              </w:rPr>
              <w:t xml:space="preserve">MUSS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F-Z-10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Audit-Log: erfolgreiche und fehlgeschlagene Anmeldungen werden mit Zeitstempel und IP protokolliert.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8A6D00"/>
                <w:sz w:val="22"/>
                <w:szCs w:val="22"/>
              </w:rPr>
              <w:t xml:space="preserve">SOLL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F-Z-11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Hinweisbanner: Bei Erst-Login Empfehlung, 2FA zu aktivieren.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8A6D00"/>
                <w:sz w:val="22"/>
                <w:szCs w:val="22"/>
              </w:rPr>
              <w:t xml:space="preserve">SOLL</w:t>
            </w:r>
          </w:p>
        </w:tc>
      </w:tr>
    </w:tbl>
    <w:p>
      <w:pPr>
        <w:spacing w:after="120" w:line="300"/>
        <w:jc w:val="both"/>
      </w:pPr>
      <w:r>
        <w:t xml:space="preserve">Hinweis zur Sicherheit: Ein sechsstelliger numerischer Code bietet rein mathematisch nur 1’000’000 Kombinationen. Ein wirksamer Schutz hochsensibler Finanzdaten setzt daher zwingend ergänzende Massnahmen voraus (Brute-Force-Schutz, Geräte-Bindung, idealerweise 2FA). Diese sind als MUSS- bzw. SOLL-Anforderungen entsprechend definiert.</w:t>
      </w:r>
    </w:p>
    <w:p>
      <w:pPr>
        <w:pStyle w:val="Heading2"/>
      </w:pPr>
      <w:r>
        <w:t xml:space="preserve">4.2 Rubrik 2 – Kurzfristige Verbindlichkeiten</w:t>
      </w:r>
    </w:p>
    <w:p>
      <w:pPr>
        <w:spacing w:after="120" w:line="300"/>
        <w:jc w:val="both"/>
      </w:pPr>
      <w:r>
        <w:t xml:space="preserve">In dieser Rubrik werden alle Verbindlichkeiten mit Fälligkeit innerhalb der nächsten 12 Monate erfasst (z. B. Kreditkartensaldo, Konsumkredite, offene Rechnungen, kurzfristige Privatdarlehen, Steuerrückstände).</w:t>
      </w:r>
    </w:p>
    <w:p>
      <w:pPr>
        <w:pStyle w:val="Heading3"/>
      </w:pPr>
      <w:r>
        <w:t xml:space="preserve">4.2.1 Datenfelder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0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Feld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Pflicht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Beschreibung / Beispiel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Auto-ID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z. B. KV-2026-0001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Bezeichnung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z. B. „Kreditkarte Visa“, „Steuern 2025“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Kategorie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Auswahl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Kreditkarte, Konsumkredit, Rechnung, Privatdarlehen, Steuern, Sonstiges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Gläubiger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Bank, Person, Behörde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Ursprünglicher Betrag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Zahl (CHF)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Anfangshöhe der Verbindlichkeit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Aktueller Saldo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Zahl (CHF)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Offener Restbetrag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Währung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Auswahl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CHF (Standard), EUR, USD, …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Zinssatz p. a.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Zahl (%)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Falls verzinst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Fällig am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Datum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Endfälligkeit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Mindest-Monatsrate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Zahl (CHF)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z. B. bei Kreditkarte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Auswahl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Offen / Teilweise getilgt / Beglichen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Notizen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Langtext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Freitext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Anhang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Datei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Rechnung, Vertrag (PDF)</w:t>
            </w:r>
          </w:p>
        </w:tc>
      </w:tr>
    </w:tbl>
    <w:p>
      <w:pPr>
        <w:pStyle w:val="Heading3"/>
      </w:pPr>
      <w:r>
        <w:t xml:space="preserve">4.2.2 Anforderungen Modul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Anforderung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Priorität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F-KV-01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Anlegen, Bearbeiten, Archivieren von kurzfristigen Verbindlichkeiten.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B00020"/>
                <w:sz w:val="22"/>
                <w:szCs w:val="22"/>
              </w:rPr>
              <w:t xml:space="preserve">MUSS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F-KV-02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Listenansicht mit Sortierung nach Fälligkeit, Betrag und Kategorie.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B00020"/>
                <w:sz w:val="22"/>
                <w:szCs w:val="22"/>
              </w:rPr>
              <w:t xml:space="preserve">MUSS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F-KV-03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Summenanzeige der aktuellen Salden, automatisch aktualisiert.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B00020"/>
                <w:sz w:val="22"/>
                <w:szCs w:val="22"/>
              </w:rPr>
              <w:t xml:space="preserve">MUSS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F-KV-04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Farbliche Kennzeichnung von Fälligkeiten (z. B. rot bei &lt; 7 Tagen).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8A6D00"/>
                <w:sz w:val="22"/>
                <w:szCs w:val="22"/>
              </w:rPr>
              <w:t xml:space="preserve">SOLL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F-KV-05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Erinnerungsfunktion: 7 Tage vor Fälligkeit erscheint ein Hinweis auf dem Dashboard.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B00020"/>
                <w:sz w:val="22"/>
                <w:szCs w:val="22"/>
              </w:rPr>
              <w:t xml:space="preserve">MUSS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F-KV-06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Möglichkeit, Teilrückzahlungen zu erfassen (mit Datum und Betrag).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B00020"/>
                <w:sz w:val="22"/>
                <w:szCs w:val="22"/>
              </w:rPr>
              <w:t xml:space="preserve">MUSS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F-KV-07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Berechnung der Zinslast pro Position (sofern Zinssatz erfasst).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8A6D00"/>
                <w:sz w:val="22"/>
                <w:szCs w:val="22"/>
              </w:rPr>
              <w:t xml:space="preserve">SOLL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F-KV-08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Anhängen von Dokumenten (PDF, Bilder).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8A6D00"/>
                <w:sz w:val="22"/>
                <w:szCs w:val="22"/>
              </w:rPr>
              <w:t xml:space="preserve">SOLL</w:t>
            </w:r>
          </w:p>
        </w:tc>
      </w:tr>
    </w:tbl>
    <w:p>
      <w:pPr>
        <w:pStyle w:val="Heading2"/>
      </w:pPr>
      <w:r>
        <w:t xml:space="preserve">4.3 Rubrik 3 – Langfristige Verbindlichkeiten</w:t>
      </w:r>
    </w:p>
    <w:p>
      <w:pPr>
        <w:spacing w:after="120" w:line="300"/>
        <w:jc w:val="both"/>
      </w:pPr>
      <w:r>
        <w:t xml:space="preserve">In dieser Rubrik werden Verbindlichkeiten mit einer Laufzeit von mehr als 12 Monaten erfasst – typischerweise Hypotheken, Leasingverträge, längerfristige Privatkredite oder Studiendarlehen.</w:t>
      </w:r>
    </w:p>
    <w:p>
      <w:pPr>
        <w:pStyle w:val="Heading3"/>
      </w:pPr>
      <w:r>
        <w:t xml:space="preserve">4.3.1 Datenfelder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0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Feld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Pflicht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Beschreibung / Beispiel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Auto-ID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z. B. LV-2026-0001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Bezeichnung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z. B. „Hypothek Wohnung Zürich“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Kategorie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Auswahl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Hypothek, Konsumkredit, Leasing, Studiendarlehen, Sonstiges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Gläubiger / Bank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z. B. UBS, ZKB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Ursprünglicher Betrag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Zahl (CHF)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Anfangshöhe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Aktueller Saldo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Zahl (CHF)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Restschuld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Währung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Auswahl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CHF (Standard), …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Zinssatz p. a.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Zahl (%)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Fest oder variabel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Zinstyp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Auswahl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Fest / Variabel / SARON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Vertragsbeginn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Datum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Beginn der Verbindlichkeit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Vertragsende / Fixierung bis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Datum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Ende oder Refinanzierungstermin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Tilgungsrate (Monat)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Zahl (CHF)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Direkte Amortisation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Zins pro Monat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Zahl (CHF)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Automatisch berechnet oder manuell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Sicherheiten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z. B. Grundpfand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Auswahl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Aktiv / Abgelöst / In Refinanzierung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Notizen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Langtext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Freitext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Anhang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Datei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Vertrag, Tilgungsplan (PDF)</w:t>
            </w:r>
          </w:p>
        </w:tc>
      </w:tr>
    </w:tbl>
    <w:p>
      <w:pPr>
        <w:pStyle w:val="Heading3"/>
      </w:pPr>
      <w:r>
        <w:t xml:space="preserve">4.3.2 Anforderungen Modul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Anforderung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Priorität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F-LV-01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Anlegen, Bearbeiten und Archivieren langfristiger Verbindlichkeiten.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B00020"/>
                <w:sz w:val="22"/>
                <w:szCs w:val="22"/>
              </w:rPr>
              <w:t xml:space="preserve">MUSS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F-LV-02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Automatische Berechnung der monatlichen Zinslast aus Saldo und Zinssatz.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B00020"/>
                <w:sz w:val="22"/>
                <w:szCs w:val="22"/>
              </w:rPr>
              <w:t xml:space="preserve">MUSS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F-LV-03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Übersichtsgrafik der Schuldenentwicklung über die Zeit.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8A6D00"/>
                <w:sz w:val="22"/>
                <w:szCs w:val="22"/>
              </w:rPr>
              <w:t xml:space="preserve">SOLL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F-LV-04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Hinweis 90 Tage vor Vertragsende / Refinanzierungstermin.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B00020"/>
                <w:sz w:val="22"/>
                <w:szCs w:val="22"/>
              </w:rPr>
              <w:t xml:space="preserve">MUSS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F-LV-05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Möglichkeit, Sondertilgungen mit Datum zu erfassen.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B00020"/>
                <w:sz w:val="22"/>
                <w:szCs w:val="22"/>
              </w:rPr>
              <w:t xml:space="preserve">MUSS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F-LV-06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Tilgungsplan-Ansicht (geplante Restschuld pro Jahr).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8A6D00"/>
                <w:sz w:val="22"/>
                <w:szCs w:val="22"/>
              </w:rPr>
              <w:t xml:space="preserve">SOLL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F-LV-07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Anhängen von Verträgen und Tilgungsplänen.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8A6D00"/>
                <w:sz w:val="22"/>
                <w:szCs w:val="22"/>
              </w:rPr>
              <w:t xml:space="preserve">SOLL</w:t>
            </w:r>
          </w:p>
        </w:tc>
      </w:tr>
    </w:tbl>
    <w:p>
      <w:pPr>
        <w:pStyle w:val="Heading2"/>
      </w:pPr>
      <w:r>
        <w:t xml:space="preserve">4.4 Rubrik 4 – Monatliche Geldeinkünfte</w:t>
      </w:r>
    </w:p>
    <w:p>
      <w:pPr>
        <w:spacing w:after="120" w:line="300"/>
        <w:jc w:val="both"/>
      </w:pPr>
      <w:r>
        <w:t xml:space="preserve">In dieser Rubrik werden alle regelmässigen Einkünfte erfasst – Lohn, Boni, Mieterträge, Dividenden, Renten und sonstige wiederkehrende Einnahmen.</w:t>
      </w:r>
    </w:p>
    <w:p>
      <w:pPr>
        <w:pStyle w:val="Heading3"/>
      </w:pPr>
      <w:r>
        <w:t xml:space="preserve">4.4.1 Datenfelder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0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Feld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Pflicht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Beschreibung / Beispiel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Auto-ID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z. B. E-2026-0001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Bezeichnung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z. B. „Lohn Arbeitgeber X“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Kategorie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Auswahl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Lohn / Bonus / Mieteinnahme / Dividende / Rente / Nebeneinkommen / Sonstiges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Quelle / Auftraggeber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Arbeitgeber, Mieter, Broker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Betrag (Netto)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Zahl (CHF)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Monatlicher Netto-Eingang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Betrag (Brutto)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Zahl (CHF)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Optional, falls bekannt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Häufigkeit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Auswahl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Monatlich / Quartal / Halbjährlich / Jährlich / Einmalig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Empfangstag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Tag (1–31)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z. B. „25. jedes Monats“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Währung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Auswahl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CHF / EUR / USD / …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Startdatum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Datum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Erste Zahlung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Enddatum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Datum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Falls befristet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Konto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Ziel-Konto (z. B. UBS Lohnkonto)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Auswahl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Aktiv / Pausiert / Beendet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Notizen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Langtext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Freitext</w:t>
            </w:r>
          </w:p>
        </w:tc>
      </w:tr>
    </w:tbl>
    <w:p>
      <w:pPr>
        <w:pStyle w:val="Heading3"/>
      </w:pPr>
      <w:r>
        <w:t xml:space="preserve">4.4.2 Anforderungen Modul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Anforderung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Priorität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F-E-01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Anlegen, Bearbeiten, Archivieren von Einkünften.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B00020"/>
                <w:sz w:val="22"/>
                <w:szCs w:val="22"/>
              </w:rPr>
              <w:t xml:space="preserve">MUSS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F-E-02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Automatische Hochrechnung der monatlichen Einkünfte (auch bei jährlichen Boni anteilig).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B00020"/>
                <w:sz w:val="22"/>
                <w:szCs w:val="22"/>
              </w:rPr>
              <w:t xml:space="preserve">MUSS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F-E-03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Übersicht nach Kategorie inkl. prozentualer Verteilung.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8A6D00"/>
                <w:sz w:val="22"/>
                <w:szCs w:val="22"/>
              </w:rPr>
              <w:t xml:space="preserve">SOLL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F-E-04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Historie: Erfassung tatsächlich eingegangener Zahlungen pro Monat (Soll/Ist).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8A6D00"/>
                <w:sz w:val="22"/>
                <w:szCs w:val="22"/>
              </w:rPr>
              <w:t xml:space="preserve">SOLL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F-E-05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Filter und Suche nach Kategorie, Quelle, Zeitraum.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B00020"/>
                <w:sz w:val="22"/>
                <w:szCs w:val="22"/>
              </w:rPr>
              <w:t xml:space="preserve">MUSS</w:t>
            </w:r>
          </w:p>
        </w:tc>
      </w:tr>
    </w:tbl>
    <w:p>
      <w:pPr>
        <w:pStyle w:val="Heading2"/>
      </w:pPr>
      <w:r>
        <w:t xml:space="preserve">4.5 Rubrik 5 – Monatliche Geldausgaben</w:t>
      </w:r>
    </w:p>
    <w:p>
      <w:pPr>
        <w:spacing w:after="120" w:line="300"/>
        <w:jc w:val="both"/>
      </w:pPr>
      <w:r>
        <w:t xml:space="preserve">In dieser Rubrik werden alle wiederkehrenden und einmaligen Ausgaben erfasst – Wohnkosten, Versicherungen, Abos, Lebenshaltung, Mobilität, Freizeit und Sonstiges.</w:t>
      </w:r>
    </w:p>
    <w:p>
      <w:pPr>
        <w:pStyle w:val="Heading3"/>
      </w:pPr>
      <w:r>
        <w:t xml:space="preserve">4.5.1 Datenfelder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0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Feld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Pflicht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Beschreibung / Beispiel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Auto-ID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z. B. A-2026-0001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Bezeichnung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z. B. „Miete Wohnung“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Kategorie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Auswahl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Wohnen / Versicherung / Abo / Lebenshaltung / Mobilität / Freizeit / Steuern / Gesundheit / Sonstiges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Empfänger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z. B. Vermieter, Helsana, Sunrise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Betrag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Zahl (CHF)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Monatlicher Betrag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Häufigkeit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Auswahl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Monatlich / Quartal / Halbjährlich / Jährlich / Einmalig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Fällig am (Tag)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Tag (1–31)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z. B. „1. jedes Monats“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Zahlungsmethode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Auswahl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Dauerauftrag / LSV / Kreditkarte / Manuell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Währung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Auswahl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CHF / EUR / USD / …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Startdatum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Datum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Beginn der Ausgabe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Enddatum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Datum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Falls befristet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Fixkosten / Variable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Auswahl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Fix / Variabel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Auswahl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Aktiv / Pausiert / Gekündigt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Notizen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Langtext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Freitext</w:t>
            </w:r>
          </w:p>
        </w:tc>
      </w:tr>
    </w:tbl>
    <w:p>
      <w:pPr>
        <w:pStyle w:val="Heading3"/>
      </w:pPr>
      <w:r>
        <w:t xml:space="preserve">4.5.2 Anforderungen Modul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Anforderung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Priorität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F-A-01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Anlegen, Bearbeiten und Archivieren von Ausgaben.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B00020"/>
                <w:sz w:val="22"/>
                <w:szCs w:val="22"/>
              </w:rPr>
              <w:t xml:space="preserve">MUSS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F-A-02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Automatische monatliche Hochrechnung (jährliche Beträge werden umgerechnet).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B00020"/>
                <w:sz w:val="22"/>
                <w:szCs w:val="22"/>
              </w:rPr>
              <w:t xml:space="preserve">MUSS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F-A-03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Auswertung Fix- vs. Variable Kosten in einer Grafik.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8A6D00"/>
                <w:sz w:val="22"/>
                <w:szCs w:val="22"/>
              </w:rPr>
              <w:t xml:space="preserve">SOLL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F-A-04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Budgetfunktion: monatliches Limit pro Kategorie definieren mit Hinweis bei Überschreitung.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8A6D00"/>
                <w:sz w:val="22"/>
                <w:szCs w:val="22"/>
              </w:rPr>
              <w:t xml:space="preserve">SOLL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F-A-05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Kalenderansicht aller Fälligkeiten innerhalb eines Monats.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8A6D00"/>
                <w:sz w:val="22"/>
                <w:szCs w:val="22"/>
              </w:rPr>
              <w:t xml:space="preserve">SOLL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F-A-06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Suche und Filter nach Kategorie, Empfänger, Status, Zeitraum.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B00020"/>
                <w:sz w:val="22"/>
                <w:szCs w:val="22"/>
              </w:rPr>
              <w:t xml:space="preserve">MUSS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F-A-07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Markierung kündbarer Abos mit nächster Kündigungsfrist.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KANN</w:t>
            </w:r>
          </w:p>
        </w:tc>
      </w:tr>
    </w:tbl>
    <w:p>
      <w:pPr>
        <w:pStyle w:val="Heading2"/>
      </w:pPr>
      <w:r>
        <w:t xml:space="preserve">4.6 Rubrik 6 – Investments</w:t>
      </w:r>
    </w:p>
    <w:p>
      <w:pPr>
        <w:spacing w:after="120" w:line="300"/>
        <w:jc w:val="both"/>
      </w:pPr>
      <w:r>
        <w:t xml:space="preserve">In dieser Rubrik werden alle Vermögensanlagen erfasst – einzelne Aktien, Fonds, ETFs, Anleihen, Kryptowährungen, Säule 3a, Lebensversicherungen mit Sparanteil und sonstige Anlagen.</w:t>
      </w:r>
    </w:p>
    <w:p>
      <w:pPr>
        <w:pStyle w:val="Heading3"/>
      </w:pPr>
      <w:r>
        <w:t xml:space="preserve">4.6.1 Datenfelder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0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Feld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Pflicht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Beschreibung / Beispiel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Auto-ID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z. B. I-2026-0001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Bezeichnung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z. B. „MSCI World ETF (IE00B4L5Y983)“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Kategorie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Auswahl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Aktie / Fonds / ETF / Anleihe / Krypto / Säule 3a / Vorsorge / Cash / Sonstiges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Ticker / ISIN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Eindeutige Wertpapier-Kennung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Broker / Depot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z. B. „IBKR“, „Swissquote“, „VIAC“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Anzahl / Stückzahl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Zahl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Ja*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*bei Aktien/ETF/Krypto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Kaufpreis pro Einheit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Zahl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Ja*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Durchschnittlicher Einstand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Investierter Betrag (Total)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Zahl (CHF)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Gesamteinsatz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Aktueller Kurs / Wert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Zahl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Manuell oder via Kurs-API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Aktueller Marktwert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Zahl (CHF)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Automatisch berechnet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Gewinn / Verlust (CHF)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Zahl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Automatisch berechnet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Gewinn / Verlust (%)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Zahl (%)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Automatisch berechnet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Währung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Auswahl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CHF / EUR / USD / …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Kaufdatum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Datum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Datum des Erwerbs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Dividendenrendite p. a.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Zahl (%)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Falls relevant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Risikoklasse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Auswahl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Niedrig / Mittel / Hoch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Auswahl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Im Portfolio / Verkauft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Notizen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Langtext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Freitext, Strategie-Hinweise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Anhang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Datei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Belege, Reports (PDF)</w:t>
            </w:r>
          </w:p>
        </w:tc>
      </w:tr>
    </w:tbl>
    <w:p>
      <w:pPr>
        <w:pStyle w:val="Heading3"/>
      </w:pPr>
      <w:r>
        <w:t xml:space="preserve">4.6.2 Anforderungen Modul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Anforderung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Priorität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F-I-01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Anlegen, Bearbeiten und Archivieren von Investments.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B00020"/>
                <w:sz w:val="22"/>
                <w:szCs w:val="22"/>
              </w:rPr>
              <w:t xml:space="preserve">MUSS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F-I-02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Portfolio-Übersicht mit aktuellem Marktwert und Gesamt-Performance.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B00020"/>
                <w:sz w:val="22"/>
                <w:szCs w:val="22"/>
              </w:rPr>
              <w:t xml:space="preserve">MUSS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F-I-03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Aufteilung des Portfolios nach Kategorie (Aktien / ETF / Krypto / …) als Grafik.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8A6D00"/>
                <w:sz w:val="22"/>
                <w:szCs w:val="22"/>
              </w:rPr>
              <w:t xml:space="preserve">SOLL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F-I-04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Möglichkeit, Käufe und Verkäufe als Einzeltransaktionen zu erfassen (mit Datum, Stückzahl, Kurs).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B00020"/>
                <w:sz w:val="22"/>
                <w:szCs w:val="22"/>
              </w:rPr>
              <w:t xml:space="preserve">MUSS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F-I-05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Manuelle oder optional automatische Aktualisierung der Kurse über eine Markt-API.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8A6D00"/>
                <w:sz w:val="22"/>
                <w:szCs w:val="22"/>
              </w:rPr>
              <w:t xml:space="preserve">SOLL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F-I-06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Fremdwährungs-Anlagen werden zum Stichtag in CHF umgerechnet.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8A6D00"/>
                <w:sz w:val="22"/>
                <w:szCs w:val="22"/>
              </w:rPr>
              <w:t xml:space="preserve">SOLL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F-I-07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Erfassung von Dividenden / Erträgen pro Position mit Datum und Betrag.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8A6D00"/>
                <w:sz w:val="22"/>
                <w:szCs w:val="22"/>
              </w:rPr>
              <w:t xml:space="preserve">SOLL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F-I-08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Historische Wertentwicklung als Liniendiagramm (Soll: monatliche Snapshots).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8A6D00"/>
                <w:sz w:val="22"/>
                <w:szCs w:val="22"/>
              </w:rPr>
              <w:t xml:space="preserve">SOLL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F-I-09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Risikokennzahl (Anteil hochrisikoreicher Anlagen) wird angezeigt.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KANN</w:t>
            </w:r>
          </w:p>
        </w:tc>
      </w:tr>
    </w:tbl>
    <w:p>
      <w:pPr>
        <w:pStyle w:val="Heading2"/>
      </w:pPr>
      <w:r>
        <w:t xml:space="preserve">4.7 Rubrik 7 – Aktienpläne (Mitarbeiterbeteiligungen)</w:t>
      </w:r>
    </w:p>
    <w:p>
      <w:pPr>
        <w:spacing w:after="120" w:line="300"/>
        <w:jc w:val="both"/>
      </w:pPr>
      <w:r>
        <w:t xml:space="preserve">In dieser Rubrik werden Mitarbeiterbeteiligungsprogramme verwaltet – insbesondere RSU (Restricted Stock Units), PSU (Performance Stock Units), Aktienoptionen (ESOP) und Mitarbeiteraktien-Kaufprogramme (ESPP). Im Zentrum stehen die Vesting-Pläne, der aktuelle Wert und die steuerlich relevanten Daten.</w:t>
      </w:r>
    </w:p>
    <w:p>
      <w:pPr>
        <w:pStyle w:val="Heading3"/>
      </w:pPr>
      <w:r>
        <w:t xml:space="preserve">4.7.1 Datenfelder pro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0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Feld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Pflicht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Beschreibung / Beispiel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Auto-ID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z. B. AP-2026-0001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Bezeichnung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z. B. „RSU Grant 2024 – Firma X“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Plantyp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Auswahl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RSU / PSU / Option / ESPP / Restricted Shares / Sonstiges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Arbeitgeber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Name der Firma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Ticker / ISIN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Aktien-Kennung des Arbeitgebers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Grant-Datum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Datum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Zuteilungsdatum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Gesamtanzahl (Grant)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Zahl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Anzahl der zugeteilten Einheiten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Grant-Preis / Strike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Zahl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Nein*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*bei Optionen erforderlich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Aktueller Kurs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Zahl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Manuell oder API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Vesting-Beginn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Datum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Beginn der Vesting-Periode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Vesting-Dauer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Auswahl/Text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z. B. 4 Jahre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Cliff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Auswahl/Text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z. B. 1 Jahr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Vesting-Rhythmus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Auswahl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Monatlich / Quartal / Jährlich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Bereits gevestet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Zahl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Automatisch berechnet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Noch ausstehend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Zahl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Automatisch berechnet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Aktueller Wert (CHF)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Zahl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gevestete Stücke × Kurs (umgerechnet)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Performance-Bedingung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Langtext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Nur bei PSU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Ablaufdatum (Option)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Datum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Nur bei Optionen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Sperrfrist (Lock-up)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Datum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Verkauf erst nach diesem Datum möglich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Steuerliches Ereignis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Auswahl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Bei Vesting / bei Verkauf / bei Ausübung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Auswahl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Aktiv / Vollständig gevestet / Verkauft / Verfallen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Notizen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Langtext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Freitext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Anhang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Datei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Grant-Brief, Plandokumente (PDF)</w:t>
            </w:r>
          </w:p>
        </w:tc>
      </w:tr>
    </w:tbl>
    <w:p>
      <w:pPr>
        <w:pStyle w:val="Heading3"/>
      </w:pPr>
      <w:r>
        <w:t xml:space="preserve">4.7.2 Anforderungen Modul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Anforderung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Priorität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F-AP-01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Anlegen mehrerer Aktienpläne pro Arbeitgeber.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B00020"/>
                <w:sz w:val="22"/>
                <w:szCs w:val="22"/>
              </w:rPr>
              <w:t xml:space="preserve">MUSS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F-AP-02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Automatische Berechnung der bereits gevesteten und ausstehenden Stückzahlen anhand des Vesting-Plans.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B00020"/>
                <w:sz w:val="22"/>
                <w:szCs w:val="22"/>
              </w:rPr>
              <w:t xml:space="preserve">MUSS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F-AP-03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Visualisierung des Vesting-Verlaufs (Zeitachse mit Tranchen).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B00020"/>
                <w:sz w:val="22"/>
                <w:szCs w:val="22"/>
              </w:rPr>
              <w:t xml:space="preserve">MUSS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F-AP-04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Hinweise vor Vesting-Tranchen (z. B. 7 Tage vorher) auf dem Dashboard.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8A6D00"/>
                <w:sz w:val="22"/>
                <w:szCs w:val="22"/>
              </w:rPr>
              <w:t xml:space="preserve">SOLL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F-AP-05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Berechnung des aktuellen Werts in CHF (Anzahl × Kurs × Wechselkurs).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B00020"/>
                <w:sz w:val="22"/>
                <w:szCs w:val="22"/>
              </w:rPr>
              <w:t xml:space="preserve">MUSS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F-AP-06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Erfassung von Ausübung (Optionen) und Verkauf (RSU) mit Datum, Stückzahl, Erlös.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B00020"/>
                <w:sz w:val="22"/>
                <w:szCs w:val="22"/>
              </w:rPr>
              <w:t xml:space="preserve">MUSS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F-AP-07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Hinweis vor Ablauf von Optionen (z. B. 90 Tage vorher).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8A6D00"/>
                <w:sz w:val="22"/>
                <w:szCs w:val="22"/>
              </w:rPr>
              <w:t xml:space="preserve">SOLL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F-AP-08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Hinweis vor Ablauf der Sperrfrist (Lock-up).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8A6D00"/>
                <w:sz w:val="22"/>
                <w:szCs w:val="22"/>
              </w:rPr>
              <w:t xml:space="preserve">SOLL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F-AP-09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Aggregierte Sicht über alle Pläne hinweg (Total-Wert, Total-Anzahl, Konzentrationsrisiko).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B00020"/>
                <w:sz w:val="22"/>
                <w:szCs w:val="22"/>
              </w:rPr>
              <w:t xml:space="preserve">MUSS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F-AP-10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Markierung als „Konzentrationsrisiko“, wenn ein einzelner Plan einen konfigurierbaren Anteil am Gesamtvermögen übersteigt (z. B. &gt; 30 %).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8A6D00"/>
                <w:sz w:val="22"/>
                <w:szCs w:val="22"/>
              </w:rPr>
              <w:t xml:space="preserve">SOLL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F-AP-11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Anhängen von Plan-Dokumenten und Grant-Briefen.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8A6D00"/>
                <w:sz w:val="22"/>
                <w:szCs w:val="22"/>
              </w:rPr>
              <w:t xml:space="preserve">SOLL</w:t>
            </w:r>
          </w:p>
        </w:tc>
      </w:tr>
    </w:tbl>
    <w:p>
      <w:pPr>
        <w:pStyle w:val="Heading2"/>
      </w:pPr>
      <w:r>
        <w:t xml:space="preserve">4.8 Übergreifende Funktionen</w:t>
      </w:r>
    </w:p>
    <w:p>
      <w:pPr>
        <w:pStyle w:val="Heading3"/>
      </w:pPr>
      <w:r>
        <w:t xml:space="preserve">4.8.1 Dashboard / Startseite</w:t>
      </w:r>
    </w:p>
    <w:p>
      <w:pPr>
        <w:spacing w:after="120" w:line="300"/>
        <w:jc w:val="both"/>
      </w:pPr>
      <w:r>
        <w:t xml:space="preserve">Nach erfolgreichem Login wird ein Dashboard angezeigt, das die wichtigsten Kennzahlen und Hinweise zusammenfasst.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Netto-Vermögen (Vermögen + Investments + gevestete Aktien – Verbindlichkeiten).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Monatlicher Cashflow (Einkünfte – Ausgaben).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Sparquote in Prozent.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Schuldendienstquote (Zins + Tilgung) zu Einkünften.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Anstehende Fälligkeiten (nächste 30 Tage).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Bevorstehende Vesting-Tranchen.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Portfolio-Performance (Monat / Jahr).</w:t>
      </w:r>
    </w:p>
    <w:p>
      <w:pPr>
        <w:pStyle w:val="Heading3"/>
      </w:pPr>
      <w:r>
        <w:t xml:space="preserve">4.8.2 Kennzahlen und Berechnung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Anforderung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Priorität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F-U-01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Netto-Vermögen wird in Echtzeit aus allen Modulen berechnet.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B00020"/>
                <w:sz w:val="22"/>
                <w:szCs w:val="22"/>
              </w:rPr>
              <w:t xml:space="preserve">MUSS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F-U-02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Cashflow und Sparquote werden monatlich automatisch ermittelt.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B00020"/>
                <w:sz w:val="22"/>
                <w:szCs w:val="22"/>
              </w:rPr>
              <w:t xml:space="preserve">MUSS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F-U-03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Schuldendienstquote berücksichtigt Zins und Tilgung aus Modul 2 und 3.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8A6D00"/>
                <w:sz w:val="22"/>
                <w:szCs w:val="22"/>
              </w:rPr>
              <w:t xml:space="preserve">SOLL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F-U-04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Historische Entwicklung der Kennzahlen über die letzten 12 Monate als Diagramm.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8A6D00"/>
                <w:sz w:val="22"/>
                <w:szCs w:val="22"/>
              </w:rPr>
              <w:t xml:space="preserve">SOLL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F-U-05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Export aller Daten als CSV / Excel-Datei.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8A6D00"/>
                <w:sz w:val="22"/>
                <w:szCs w:val="22"/>
              </w:rPr>
              <w:t xml:space="preserve">SOLL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F-U-06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Druckfreundliche PDF-Übersicht („Finanz-Snapshot“).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8A6D00"/>
                <w:sz w:val="22"/>
                <w:szCs w:val="22"/>
              </w:rPr>
              <w:t xml:space="preserve">SOLL</w:t>
            </w:r>
          </w:p>
        </w:tc>
      </w:tr>
    </w:tbl>
    <w:p>
      <w:pPr>
        <w:pStyle w:val="Heading3"/>
      </w:pPr>
      <w:r>
        <w:t xml:space="preserve">4.8.3 Benachrichtigungen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In-App-Hinweise für Fälligkeiten, Vesting, Budgetüberschreitungen, Refinanzierungstermine.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Optional E-Mail-Benachrichtigungen (täglich / wöchentlich konfigurierbar).</w:t>
      </w:r>
    </w:p>
    <w:p>
      <w:pPr>
        <w:pStyle w:val="Heading3"/>
      </w:pPr>
      <w:r>
        <w:t xml:space="preserve">4.8.4 Globale Suche</w:t>
      </w:r>
    </w:p>
    <w:p>
      <w:pPr>
        <w:spacing w:after="120" w:line="300"/>
        <w:jc w:val="both"/>
      </w:pPr>
      <w:r>
        <w:t xml:space="preserve">Eine globale Suchleiste ermöglicht das modulübergreifende Finden von Einträgen, Empfängern, Wertpapieren und Notizen.</w:t>
      </w:r>
    </w:p>
    <w:p>
      <w:pPr>
        <w:pStyle w:val="Heading1"/>
        <w:pageBreakBefore/>
      </w:pPr>
      <w:r>
        <w:t xml:space="preserve">5. Nicht-funktionale Anforderungen</w:t>
      </w:r>
    </w:p>
    <w:p>
      <w:pPr>
        <w:pStyle w:val="Heading2"/>
      </w:pPr>
      <w:r>
        <w:t xml:space="preserve">5.1 Benutzerfreundlichkeit (Usability)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Intuitive Bedienung ohne Schulung für die Kernfunktionen.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Konsistente Oberfläche über alle Module hinweg.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Responsive Design – nutzbar auf Desktop, Tablet und Smartphone.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Maximale Anzahl Klicks zum Anlegen eines Eintrags: 3.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Dunkelmodus / heller Modus wählbar (SOLL).</w:t>
      </w:r>
    </w:p>
    <w:p>
      <w:pPr>
        <w:pStyle w:val="Heading2"/>
      </w:pPr>
      <w:r>
        <w:t xml:space="preserve">5.2 Performance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Seitenaufbau Standardansichten ≤ 1,5 Sekunden.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Berechnungen (Cashflow, Netto-Vermögen) ≤ 500 ms.</w:t>
      </w:r>
    </w:p>
    <w:p>
      <w:pPr>
        <w:pStyle w:val="Heading2"/>
      </w:pPr>
      <w:r>
        <w:t xml:space="preserve">5.3 Verfügbarkeit und Betrieb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Verfügbarkeit ≥ 99,5 % pro Monat.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Automatische tägliche Backups, Aufbewahrung 30 Tage.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Wiederherstellungszeit (RTO) ≤ 4 Stunden, Datenverlust (RPO) ≤ 24 Stunden.</w:t>
      </w:r>
    </w:p>
    <w:p>
      <w:pPr>
        <w:pStyle w:val="Heading2"/>
      </w:pPr>
      <w:r>
        <w:t xml:space="preserve">5.4 Sicherheit</w:t>
      </w:r>
    </w:p>
    <w:p>
      <w:pPr>
        <w:spacing w:after="120" w:line="300"/>
        <w:jc w:val="both"/>
      </w:pPr>
      <w:r>
        <w:t xml:space="preserve">Aufgrund der hohen Sensibilität der Finanzdaten gelten verschärfte Sicherheitsanforderungen: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Sämtliche Datenübertragungen ausschliesslich über HTTPS / TLS 1.2 oder höher.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Verschlüsselung aller persönlichen Daten at rest (z. B. AES-256).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PIN wird nur als Hash (z. B. argon2id) gespeichert – nie im Klartext.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Brute-Force-Schutz mit Sperrzeiten und IP-Limits (siehe F-Z-04).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Audit-Log mit unveränderlicher Speicherung sicherheitsrelevanter Ereignisse.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Regelmässige Sicherheits-Updates der eingesetzten Bibliotheken (Stand: max. 30 Tage hinter aktuellem Patch-Level).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Optional: Penetrationstest vor Go-Live durch unabhängige Stelle.</w:t>
      </w:r>
    </w:p>
    <w:p>
      <w:pPr>
        <w:pStyle w:val="Heading2"/>
      </w:pPr>
      <w:r>
        <w:t xml:space="preserve">5.5 Datenschutz (revDSG / DSGVO)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Speicherung der Daten in der Schweiz oder EU.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Auftragsbearbeitungsvereinbarung mit dem Auftragnehmer.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Datenexport- und Löschmöglichkeit (Recht auf Datenherausgabe und Vergessenwerden).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Datenminimierung – keine über das Notwendige hinausgehende Erfassung.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Klar formulierte Datenschutzerklärung in der Anwendung verlinkt.</w:t>
      </w:r>
    </w:p>
    <w:p>
      <w:pPr>
        <w:pStyle w:val="Heading2"/>
      </w:pPr>
      <w:r>
        <w:t xml:space="preserve">5.6 Wartbarkeit und Erweiterbarkeit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Modulare Architektur, sodass neue Rubriken (z. B. Immobilien-Modul) ergänzt werden können.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Dokumentation der Schnittstellen und des Datenmodells.</w:t>
      </w:r>
    </w:p>
    <w:p>
      <w:pPr>
        <w:pStyle w:val="Heading2"/>
      </w:pPr>
      <w:r>
        <w:t xml:space="preserve">5.7 Mehrsprachigkeit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Benutzeroberfläche zunächst in Deutsch (Schweizer Schreibweise).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Vorbereitung für weitere Sprachen (EN/FR/IT) als KANN-Anforderung.</w:t>
      </w:r>
    </w:p>
    <w:p>
      <w:pPr>
        <w:pStyle w:val="Heading1"/>
        <w:pageBreakBefore/>
      </w:pPr>
      <w:r>
        <w:t xml:space="preserve">6. Technische Rahmenbedingungen</w:t>
      </w:r>
    </w:p>
    <w:p>
      <w:pPr>
        <w:pStyle w:val="Heading2"/>
      </w:pPr>
      <w:r>
        <w:t xml:space="preserve">6.1 Plattform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Web-basierte Anwendung, abrufbar über aktuelle Versionen von Chrome, Edge, Safari und Firefox.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Responsives Design (Desktop, Tablet, Smartphone).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Optional Progressive Web App (PWA) zur Installation auf dem Smartphone-Homescreen.</w:t>
      </w:r>
    </w:p>
    <w:p>
      <w:pPr>
        <w:pStyle w:val="Heading2"/>
      </w:pPr>
      <w:r>
        <w:t xml:space="preserve">6.2 Hosting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Cloud-Hosting innerhalb der Schweiz oder EU.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Skalierbar, Single-User-tauglich, optional vorbereitet für Mehrbenutzerbetrieb.</w:t>
      </w:r>
    </w:p>
    <w:p>
      <w:pPr>
        <w:pStyle w:val="Heading2"/>
      </w:pPr>
      <w:r>
        <w:t xml:space="preserve">6.3 Schnittstellen (Interfaces)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0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Feld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Pflicht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Beschreibung / Beispiel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E-Mail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Out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MUSS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Versand von Recovery-Links und Benachrichtigungen (SMTP)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Kurs-API (Aktien/ETF)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SOLL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z. B. Yahoo Finance, Twelve Data, Finnhub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Krypto-API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SOLL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z. B. CoinGecko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Wechselkurse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SOLL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z. B. exchangerate.host, ECB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Excel/CSV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Im-/Export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SOLL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Import vorhandener Daten, Export für Steuern/Auswertung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PDF-Generator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Intern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SOLL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Finanz-Snapshot, Vesting-Übersicht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Open Banking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KANN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PSD2-Anbindung in Stufe 2</w:t>
            </w:r>
          </w:p>
        </w:tc>
      </w:tr>
    </w:tbl>
    <w:p>
      <w:pPr>
        <w:pStyle w:val="Heading1"/>
        <w:pageBreakBefore/>
      </w:pPr>
      <w:r>
        <w:t xml:space="preserve">7. Rollen- und Berechtigungskonzept</w:t>
      </w:r>
    </w:p>
    <w:p>
      <w:pPr>
        <w:spacing w:after="120" w:line="300"/>
        <w:jc w:val="both"/>
      </w:pPr>
      <w:r>
        <w:t xml:space="preserve">In der ersten Ausbaustufe wird die Anwendung als Single-User-Lösung betrieben. Folgende Rollen werden vorgesehen, um eine spätere Erweiterung vorzubereiten: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0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Feld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Pflicht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Beschreibung / Beispiel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Inhaber (Owner)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Rolle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Vollzugriff auf alle Module und Einstellungen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Lesezugriff (Read-only)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Rolle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Nur lesender Zugriff – z. B. für Steuerberater (KANN)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Co-User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Rolle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Zweite Person mit Schreibzugriff (z. B. Partner) – Stufe 2</w:t>
            </w:r>
          </w:p>
        </w:tc>
      </w:tr>
    </w:tbl>
    <w:p>
      <w:pPr>
        <w:pStyle w:val="Heading1"/>
        <w:pageBreakBefore/>
      </w:pPr>
      <w:r>
        <w:t xml:space="preserve">8. Abnahmekriterien</w:t>
      </w:r>
    </w:p>
    <w:p>
      <w:pPr>
        <w:spacing w:after="120" w:line="300"/>
        <w:jc w:val="both"/>
      </w:pPr>
      <w:r>
        <w:t xml:space="preserve">Die Lösung gilt als abgenommen, wenn folgende Kriterien kumulativ erfüllt sind: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Alle MUSS-Anforderungen sind nachweislich implementiert und in einer gemeinsamen Testsitzung bestätigt.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Mindestens 80 % der SOLL-Anforderungen sind umgesetzt.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Es liegen keine kritischen oder gravierenden Fehler vor (Severity 1 / 2).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Sicherheits-Grundprüfung durch den Auftragnehmer ist dokumentiert (PIN-Hashing, HTTPS, Brute-Force-Schutz, Session-Timeout).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Eine kurze Anwenderdokumentation liegt vor.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Backup- und Restore-Verfahren wurde einmal erfolgreich getestet.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Daten-Migration aus bestehenden Excel-Listen / Brokerauszügen ist abgeschlossen und stichprobenartig geprüft.</w:t>
      </w:r>
    </w:p>
    <w:p>
      <w:pPr>
        <w:pStyle w:val="Heading1"/>
        <w:pageBreakBefore/>
      </w:pPr>
      <w:r>
        <w:t xml:space="preserve">9. Lieferumfang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Lauffähige Web-Anwendung mit allen MUSS-Funktionen, erreichbar über eine vereinbarte Web-URL.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Konfigurierter Login mit sechsstelligem Zahlencode inkl. Brute-Force-Schutz.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Initial-Einrichtung inkl. Datenmigration aus vorhandenen Quellen (Excel, CSV).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Schriftliche Anwenderdokumentation (PDF, max. 15 Seiten).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Kurze Einweisung (remote oder vor Ort, 1–2 Stunden).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Support- und Wartungsvereinbarung (separater Vertrag).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Quellcode-Übergabe bzw. Treuhand-Hinterlegung – nach Absprache.</w:t>
      </w:r>
    </w:p>
    <w:p>
      <w:pPr>
        <w:pStyle w:val="Heading1"/>
        <w:pageBreakBefore/>
      </w:pPr>
      <w:r>
        <w:t xml:space="preserve">10. Termine und Meilensteine</w:t>
      </w:r>
    </w:p>
    <w:p>
      <w:pPr>
        <w:spacing w:after="120" w:line="300"/>
        <w:jc w:val="both"/>
      </w:pPr>
      <w:r>
        <w:t xml:space="preserve">Die folgenden Meilensteine sind Richtwerte und werden im Pflichtenheft konkretisiert.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2400"/>
        <w:gridCol w:w="16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Nr.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Meilenstein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Ergebnis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Termin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M1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Abnahme Lastenheft / Beauftragung Pflichtenheft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Unterschriebenes Pflichtenheft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T0 + 2 Wochen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M2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Designentwurf, Datenmodell, Login-Konzept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Klickdummy, ER-Diagramm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T0 + 4 Wochen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M3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MVP – Login, Verbindlichkeiten (kurz/lang)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Lauffähige Vorabversion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T0 + 8 Wochen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M4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MVP – Einkünfte, Ausgaben, Dashboard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Lauffähige Vorabversion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T0 + 12 Wochen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M5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MVP – Investments und Aktienpläne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Lauffähige Vorabversion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T0 + 16 Wochen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M6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Sicherheits-Hardening, Kursanbindung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Sicherheitscheck-Bericht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T0 + 18 Wochen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M7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Abnahmetests und Einweisung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Abnahmeprotokoll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T0 + 20 Wochen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M8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Produktivsetzung (Go-Live)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Produktiver Betrieb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T0 + 22 Wochen</w:t>
            </w:r>
          </w:p>
        </w:tc>
      </w:tr>
    </w:tbl>
    <w:p>
      <w:pPr>
        <w:pStyle w:val="Heading1"/>
        <w:pageBreakBefore/>
      </w:pPr>
      <w:r>
        <w:t xml:space="preserve">11. Risiken und offene Punkte</w:t>
      </w:r>
    </w:p>
    <w:p>
      <w:pPr>
        <w:pStyle w:val="Heading2"/>
      </w:pPr>
      <w:r>
        <w:t xml:space="preserve">11.1 Bekannte Risiken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Die alleinige Authentifizierung über einen sechsstelligen PIN ist – ohne ergänzende Schutzmassnahmen – nicht ausreichend für hochsensible Daten. Daher sind Brute-Force-Schutz, Geräte-Bindung und idealerweise 2FA zwingend vorzusehen (siehe Modul 1).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Abhängigkeit von externen Kurs-APIs (z. B. bei Anbieterausfall).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Manuelle Pflege der Investment-Daten kann zu Datenpflege-Aufwand führen, wenn kein automatischer Bankabgleich erfolgt.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Datenmigration aus heterogenen Excel-Listen – uneinheitliche Strukturen können Mehraufwand verursachen.</w:t>
      </w:r>
    </w:p>
    <w:p>
      <w:pPr>
        <w:pStyle w:val="Heading2"/>
      </w:pPr>
      <w:r>
        <w:t xml:space="preserve">11.2 Offene Punkte (zu klären vor Vertragsabschluss)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Wahl der konkreten Domain / URL und Hosting-Anbieter.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Festlegung der Kurs-API und Wechselkurs-Quelle.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Ist 2FA verpflichtend (MUSS) oder optional (SOLL)? Empfehlung: MUSS.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Recovery-E-Mail-Adresse und gegebenenfalls hinterlegte Notfall-Kontakte.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Frequenz automatischer Snapshots (täglich / monatlich) für historische Auswertungen.</w:t>
      </w:r>
    </w:p>
    <w:p>
      <w:pPr>
        <w:pStyle w:val="Heading1"/>
        <w:pageBreakBefore/>
      </w:pPr>
      <w:r>
        <w:t xml:space="preserve">12. Anhang</w:t>
      </w:r>
    </w:p>
    <w:p>
      <w:pPr>
        <w:pStyle w:val="Heading2"/>
      </w:pPr>
      <w:r>
        <w:t xml:space="preserve">12.1 Übersicht der Priorisierung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0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Feld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Pflicht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Beschreibung / Beispiel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MUSS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Priorität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Zwingend erforderlich – ohne diese Funktion ist die Lösung nicht abnahmefähig.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SOLL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Priorität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Wichtig, aber bei Bedarf zeitlich verschiebbar (z. B. Phase 2).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KANN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Priorität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Optional / nice to have.</w:t>
            </w:r>
          </w:p>
        </w:tc>
      </w:tr>
    </w:tbl>
    <w:p>
      <w:pPr>
        <w:pStyle w:val="Heading2"/>
      </w:pPr>
      <w:r>
        <w:t xml:space="preserve">12.2 Versionsverlauf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4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Datum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Autor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4C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Änderung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18.5.2026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[Name]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Erste vollständige Version (Entwurf zur Abstimmung).</w:t>
            </w:r>
          </w:p>
        </w:tc>
      </w:tr>
    </w:tbl>
    <w:p>
      <w:pPr>
        <w:pStyle w:val="Heading2"/>
      </w:pPr>
      <w:r>
        <w:t xml:space="preserve">12.3 Unterschriften</w:t>
      </w:r>
    </w:p>
    <w:p>
      <w:pPr>
        <w:spacing w:after="120" w:line="300"/>
        <w:jc w:val="both"/>
      </w:pPr>
      <w:r>
        <w:t xml:space="preserve">Mit der Unterzeichnung wird dieses Lastenheft als verbindliche Grundlage für die Erstellung des Pflichtenhefts und die Umsetzung der Lösung anerkannt.</w:t>
      </w:r>
    </w:p>
    <w:p>
      <w:r>
        <w:t xml:space="preserve"> </w:t>
      </w:r>
    </w:p>
    <w:p>
      <w:r>
        <w:t xml:space="preserve"> </w:t>
      </w:r>
    </w:p>
    <w:p>
      <w:pPr>
        <w:tabs>
          <w:tab w:val="left" w:pos="0"/>
          <w:tab w:val="left" w:pos="5400"/>
        </w:tabs>
      </w:pPr>
      <w:r>
        <w:t xml:space="preserve">Ort, Datum: ______________________</w:t>
      </w:r>
      <w:r>
        <w:t xml:space="preserve">	Ort, Datum: ______________________</w:t>
      </w:r>
    </w:p>
    <w:p>
      <w:r>
        <w:t xml:space="preserve"> </w:t>
      </w:r>
    </w:p>
    <w:p>
      <w:r>
        <w:t xml:space="preserve"> </w:t>
      </w:r>
    </w:p>
    <w:p>
      <w:pPr>
        <w:tabs>
          <w:tab w:val="left" w:pos="0"/>
          <w:tab w:val="left" w:pos="5400"/>
        </w:tabs>
      </w:pPr>
      <w:r>
        <w:t xml:space="preserve">__________________________________</w:t>
      </w:r>
      <w:r>
        <w:t xml:space="preserve">	__________________________________</w:t>
      </w:r>
    </w:p>
    <w:p>
      <w:pPr>
        <w:tabs>
          <w:tab w:val="left" w:pos="0"/>
          <w:tab w:val="left" w:pos="5400"/>
        </w:tabs>
      </w:pPr>
      <w:r>
        <w:rPr>
          <w:b/>
          <w:bCs/>
        </w:rPr>
        <w:t xml:space="preserve">Auftraggeber</w:t>
      </w:r>
      <w:r>
        <w:rPr>
          <w:b/>
          <w:bCs/>
        </w:rPr>
        <w:t xml:space="preserve">	Auftragnehmer</w:t>
      </w:r>
    </w:p>
    <w:sectPr>
      <w:headerReference w:type="default" r:id="rId7"/>
      <w:footerReference w:type="default" r:id="rId8"/>
      <w:pgSz w:w="11906" w:h="16838" w:orient="portrait"/>
      <w:pgMar w:top="17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6414" w:sz="6" w:space="4"/>
      </w:pBdr>
      <w:tabs>
        <w:tab w:val="right" w:pos="9026"/>
      </w:tabs>
    </w:pPr>
    <w:r>
      <w:rPr>
        <w:i/>
        <w:iCs/>
        <w:color w:val="777777"/>
        <w:sz w:val="18"/>
        <w:szCs w:val="18"/>
      </w:rPr>
      <w:t xml:space="preserve">Vertraulich</w:t>
    </w:r>
    <w:r>
      <w:rPr>
        <w:color w:val="777777"/>
        <w:sz w:val="18"/>
        <w:szCs w:val="18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6414" w:sz="6" w:space="4"/>
      </w:pBdr>
      <w:tabs>
        <w:tab w:val="right" w:pos="9026"/>
      </w:tabs>
    </w:pPr>
    <w:r>
      <w:rPr>
        <w:b/>
        <w:bCs/>
        <w:color w:val="0F4C5C"/>
        <w:sz w:val="20"/>
        <w:szCs w:val="20"/>
      </w:rPr>
      <w:t xml:space="preserve">Lastenheft – Persönliche Finanzen</w:t>
    </w:r>
    <w:r>
      <w:rPr>
        <w:color w:val="777777"/>
        <w:sz w:val="20"/>
        <w:szCs w:val="20"/>
      </w:rPr>
      <w:t xml:space="preserve">	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36414" w:sz="8" w:space="4"/>
      </w:pBdr>
      <w:spacing w:after="240" w:before="360"/>
      <w:outlineLvl w:val="0"/>
    </w:pPr>
    <w:rPr>
      <w:rFonts w:ascii="Calibri" w:cs="Calibri" w:eastAsia="Calibri" w:hAnsi="Calibri"/>
      <w:b/>
      <w:bCs/>
      <w:color w:val="0F4C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0F4C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Lastenheft – Persönliche Finanzen</dc:title>
  <dc:creator>Claude</dc:creator>
  <cp:lastModifiedBy>Un-named</cp:lastModifiedBy>
  <cp:revision>1</cp:revision>
  <dcterms:created xsi:type="dcterms:W3CDTF">2026-05-18T17:39:53.259Z</dcterms:created>
  <dcterms:modified xsi:type="dcterms:W3CDTF">2026-05-18T17:39:53.260Z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