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紧凑四足机器人航向估计组会汇报稿</w:t>
      </w:r>
    </w:p>
    <w:p>
      <w:pPr>
        <w:pStyle w:val="Subtitle"/>
      </w:pPr>
      <w:r>
        <w:t>对应29页组会PPT  2026年10月16日</w:t>
      </w:r>
    </w:p>
    <w:p>
      <w:r>
        <w:t>本稿围绕短基线方向与机身运动观测的条件互补展开，按现有PPT逐页编排。黑色正文可直接讲述，灰色指图提示供排练参考；每页末尾为衔接下一页的过渡句。主讲按约30分钟准备，备用答疑不计入主讲时间。</w:t>
      </w:r>
    </w:p>
    <w:p>
      <w:pPr>
        <w:pStyle w:val="Heading1"/>
      </w:pPr>
      <w:r>
        <w:t>第1页  封面</w:t>
      </w:r>
    </w:p>
    <w:p>
      <w:pPr>
        <w:pStyle w:val="Cue"/>
      </w:pPr>
      <w:r>
        <w:t>指图提示  开场先点出目前最清楚的结果，不展开参数。</w:t>
      </w:r>
    </w:p>
    <w:p>
      <w:r>
        <w:t>各位老师、同学大家好。今天汇报的是紧凑四足机器人上的低成本双天线GNSS与MEMS惯性导航，重点是短基线方向和机身运动观测如何互补。</w:t>
      </w:r>
    </w:p>
    <w:p>
      <w:r>
        <w:t>目前结果比较清楚地显示，持续的短基线方向约束能够降低航向误差；机身倾角和速度辅助也有作用，但收益取决于哪些观测仍然可用，以及这些观测的质量。这次我围绕已经完成的实验和正文图，说明这些收益出现在哪里、成立条件是什么。</w:t>
      </w:r>
    </w:p>
    <w:p>
      <w:pPr>
        <w:pStyle w:val="Transition"/>
      </w:pPr>
      <w:r>
        <w:rPr>
          <w:b/>
        </w:rPr>
        <w:t xml:space="preserve">过渡  </w:t>
      </w:r>
      <w:r>
        <w:t>首先介绍贯穿这篇论文的科学问题。</w:t>
      </w:r>
    </w:p>
    <w:p>
      <w:pPr>
        <w:pStyle w:val="Heading1"/>
      </w:pPr>
      <w:r>
        <w:t>第2页  科学问题与论文主线</w:t>
      </w:r>
    </w:p>
    <w:p>
      <w:pPr>
        <w:pStyle w:val="Cue"/>
      </w:pPr>
      <w:r>
        <w:t>指图提示  指向科学问题，再分别指向短基线方向与机身观测。</w:t>
      </w:r>
    </w:p>
    <w:p>
      <w:r>
        <w:t>我们的科学问题是：在紧凑四足机器人的GNSS/INS中，短基线方向信息与机身运动观测，如何共同改善姿态和平移估计；这种互补在什么观测可用性与质量条件下成立，又在什么时候失效。</w:t>
      </w:r>
    </w:p>
    <w:p>
      <w:r>
        <w:t>这里最主要的性能目标是航向精度。短基线提供全局方向信息，机身倾角和速度提供运动辅助。需要研究的是，它们进入同一个估计器以后分别约束什么状态，以及在遮挡、观测中断和质量失配时，相互作用会怎样变化。后面的结果按照这个问题来组织。</w:t>
      </w:r>
    </w:p>
    <w:p>
      <w:pPr>
        <w:pStyle w:val="Transition"/>
      </w:pPr>
      <w:r>
        <w:rPr>
          <w:b/>
        </w:rPr>
        <w:t xml:space="preserve">过渡  </w:t>
      </w:r>
      <w:r>
        <w:t>先看平台本身，以及短基线和机身传感器的安装关系。</w:t>
      </w:r>
    </w:p>
    <w:p>
      <w:pPr>
        <w:pStyle w:val="Heading1"/>
      </w:pPr>
      <w:r>
        <w:t>第3页  紧凑平台与传感器安装</w:t>
      </w:r>
    </w:p>
    <w:p>
      <w:pPr>
        <w:pStyle w:val="Cue"/>
      </w:pPr>
      <w:r>
        <w:t>指图提示  按左侧实物照片 中间平台示意 右侧基线几何的顺序讲。</w:t>
      </w:r>
    </w:p>
    <w:p>
      <w:r>
        <w:t>左边是实际实验平台，中间是平台示意，右边给出了双天线的几何关系。两天线安装在有限的机身空间内，图示名义间距约为0.35米。机身MEMS负责惯性传播，机器人提供的倾角和速度信息作为辅助观测。</w:t>
      </w:r>
    </w:p>
    <w:p>
      <w:r>
        <w:t>这里有一个需要明确的几何关系：两天线位置之差首先给出的是基线方向。由于基线沿机身横向安装，基线方向和机器人朝向之间还需要按照实际安装关系进行转换。这个转换必须由天线顺序和坐标约定确定。中间的整机图是示意，右边的名义尺寸用于解释几何关系。</w:t>
      </w:r>
    </w:p>
    <w:p>
      <w:pPr>
        <w:pStyle w:val="Transition"/>
      </w:pPr>
      <w:r>
        <w:rPr>
          <w:b/>
        </w:rPr>
        <w:t xml:space="preserve">过渡  </w:t>
      </w:r>
      <w:r>
        <w:t>在这一几何和传感器配置下，下面是我们的整体估计框架。</w:t>
      </w:r>
    </w:p>
    <w:p>
      <w:pPr>
        <w:pStyle w:val="Heading1"/>
      </w:pPr>
      <w:r>
        <w:t>第4页  共享状态 GNSS INS 框架</w:t>
      </w:r>
    </w:p>
    <w:p>
      <w:pPr>
        <w:pStyle w:val="Cue"/>
      </w:pPr>
      <w:r>
        <w:t>指图提示  沿IMU传播到共享状态，再讲方向和机身观测的更新路径。</w:t>
      </w:r>
    </w:p>
    <w:p>
      <w:r>
        <w:t>整个方法采用共享状态的GNSS/INS估计器，状态包括姿态、位置、速度以及惯性器件零偏。机体IMU完成状态和协方差传播，GNSS位置、速度以及短基线方向参与观测更新。机身倾角和水平速度辅助也作用于这同一个状态。</w:t>
      </w:r>
    </w:p>
    <w:p>
      <w:r>
        <w:t>图中方向构造与质量选择位于方向输入路径上。机身速度进入更新前需要做坐标转换，预处理使用已有的航向和倾角。右下方则根据来源质量和新息调整各类观测的协方差。这样，不同来源能在共同状态中发挥作用。</w:t>
      </w:r>
    </w:p>
    <w:p>
      <w:r>
        <w:t>当前实现的辅助更新由有效GNSS事件触发。这个调度关系会影响全部GNSS中断时的表现，后面会通过实验具体说明。</w:t>
      </w:r>
    </w:p>
    <w:p>
      <w:pPr>
        <w:pStyle w:val="Transition"/>
      </w:pPr>
      <w:r>
        <w:rPr>
          <w:b/>
        </w:rPr>
        <w:t xml:space="preserve">过渡  </w:t>
      </w:r>
      <w:r>
        <w:t>接下来先看三个真实场景里的路线和航向表现。</w:t>
      </w:r>
    </w:p>
    <w:p>
      <w:pPr>
        <w:pStyle w:val="Heading1"/>
      </w:pPr>
      <w:r>
        <w:t>第5页  正常行走 轨迹与航向</w:t>
      </w:r>
    </w:p>
    <w:p>
      <w:pPr>
        <w:pStyle w:val="Cue"/>
      </w:pPr>
      <w:r>
        <w:t>指图提示  左看完整路线 中看空间近景 右看100秒航向曲线。</w:t>
      </w:r>
    </w:p>
    <w:p>
      <w:r>
        <w:t>这页是正常行走。左边展示完整路线，中间是统一换算到同一物理评价点后的空间近景，右边是对应100秒时间段的航向误差。可以看到，完整路线在米尺度上比较接近，但放大之后仍能看到局部差异，航向曲线之间的差别也更明显。</w:t>
      </w:r>
    </w:p>
    <w:p>
      <w:r>
        <w:t>这里先统一说明参考：图内的Truth是Fixposition商业融合输出，与GNSS输入共享来源，后面的误差都是相对于这一参考计算的。完整路线中的TC-FGO和GNC-FGO保留各自原生GNSS1位置；厘米近景统一到POI。因此我们用左图看路线整体，用中图比较同点细节，用右图看航向。</w:t>
      </w:r>
    </w:p>
    <w:p>
      <w:pPr>
        <w:pStyle w:val="Transition"/>
      </w:pPr>
      <w:r>
        <w:rPr>
          <w:b/>
        </w:rPr>
        <w:t xml:space="preserve">过渡  </w:t>
      </w:r>
      <w:r>
        <w:t>下面把运动条件换成幅度更大的机身动作。</w:t>
      </w:r>
    </w:p>
    <w:p>
      <w:pPr>
        <w:pStyle w:val="Heading1"/>
      </w:pPr>
      <w:r>
        <w:t>第6页  大幅机身运动 轨迹与航向</w:t>
      </w:r>
    </w:p>
    <w:p>
      <w:pPr>
        <w:pStyle w:val="Cue"/>
      </w:pPr>
      <w:r>
        <w:t>指图提示  重点指右侧航向曲线，完整路线只作背景。</w:t>
      </w:r>
    </w:p>
    <w:p>
      <w:r>
        <w:t>这一组包含较大幅度的机身运动。版式与前一页一致，所以可以直接比较场景变化以后各类输出的表现。路线整体仍然相近，但不同方法的航向偏差并不相同。</w:t>
      </w:r>
    </w:p>
    <w:p>
      <w:r>
        <w:t>这说明，单看平面轨迹是否贴合，容易低估姿态上的差异。对我们的论文来说，完整路线提供实验背景，航向曲线才是更主要的性能证据。后面还会用统一统计窗口和消融，区分持续方向更新、倾角辅助各自带来的作用。</w:t>
      </w:r>
    </w:p>
    <w:p>
      <w:pPr>
        <w:pStyle w:val="Transition"/>
      </w:pPr>
      <w:r>
        <w:rPr>
          <w:b/>
        </w:rPr>
        <w:t xml:space="preserve">过渡  </w:t>
      </w:r>
      <w:r>
        <w:t>第三个自然场景关注单侧天线受到遮挡时的变化。</w:t>
      </w:r>
    </w:p>
    <w:p>
      <w:pPr>
        <w:pStyle w:val="Heading1"/>
      </w:pPr>
      <w:r>
        <w:t>第7页  单天线遮挡 轨迹与恢复</w:t>
      </w:r>
    </w:p>
    <w:p>
      <w:pPr>
        <w:pStyle w:val="Cue"/>
      </w:pPr>
      <w:r>
        <w:t>指图提示  指灰色遮挡区间和浅蓝色恢复近景时段。</w:t>
      </w:r>
    </w:p>
    <w:p>
      <w:r>
        <w:t>这一页是单天线遮挡场景。右图灰色区域标出了登记的遮挡区间，浅蓝色窄带对应选取的空间近景时间。中间近景采用的是228到233秒的恢复运动段。</w:t>
      </w:r>
    </w:p>
    <w:p>
      <w:r>
        <w:t>这样安排，是因为原先遮挡期间选取的一小段参考轨迹接近静止，机载速度记录也显示低速。放大这一段主要看到点团，难以解释行走路线的差别。现在空间近景负责展示恢复运动时的跟踪，右边航向时序则负责展示遮挡前后的完整变化。这一页也提醒我们，曲线需要结合实际事件和运动状态来读。</w:t>
      </w:r>
    </w:p>
    <w:p>
      <w:pPr>
        <w:pStyle w:val="Transition"/>
      </w:pPr>
      <w:r>
        <w:rPr>
          <w:b/>
        </w:rPr>
        <w:t xml:space="preserve">过渡  </w:t>
      </w:r>
      <w:r>
        <w:t>看完真实场景，接下来解释为什么机器人自身观测仍然需要绝对方向信息。</w:t>
      </w:r>
    </w:p>
    <w:p>
      <w:pPr>
        <w:pStyle w:val="Heading1"/>
      </w:pPr>
      <w:r>
        <w:t>第8页  机器人自身观测与绝对朝向</w:t>
      </w:r>
    </w:p>
    <w:p>
      <w:pPr>
        <w:pStyle w:val="Cue"/>
      </w:pPr>
      <w:r>
        <w:t>指图提示  先说清七次运行，再指左侧旋转轨迹和右侧重合轨迹。</w:t>
      </w:r>
    </w:p>
    <w:p>
      <w:r>
        <w:t>这里的七条曲线来自同一个接触辅助InEKF，输入也是同一段IMU、足位代理和接触记录。变化的是七种初始全局朝向，分别为负150、负100、负50、零、正50、正100和正150度。零度复用已有主运行，另外六种设置来自已经完成的回放。</w:t>
      </w:r>
    </w:p>
    <w:p>
      <w:r>
        <w:t>初始化时，世界坐标中的状态和协方差一起按相同角度变换。因此左图的轨迹整体朝向不同；把各次已知的初始旋转消除以后，右图中的相对路径就重合了。完整正文图中给出的极小差值，衡量的是数值一致性。</w:t>
      </w:r>
    </w:p>
    <w:p>
      <w:r>
        <w:t>这张图用于说明：相同的机器人相对运动可以对应不同的全局朝向。短基线方向观测的意义，就是进一步约束这个全局方向自由度。</w:t>
      </w:r>
    </w:p>
    <w:p>
      <w:pPr>
        <w:pStyle w:val="Transition"/>
      </w:pPr>
      <w:r>
        <w:rPr>
          <w:b/>
        </w:rPr>
        <w:t xml:space="preserve">过渡  </w:t>
      </w:r>
      <w:r>
        <w:t>因此，首先需要看短基线到底能提供怎样的方向观测，以及这些观测是否稳定。</w:t>
      </w:r>
    </w:p>
    <w:p>
      <w:pPr>
        <w:pStyle w:val="Heading1"/>
      </w:pPr>
      <w:r>
        <w:t>第9页  短基线方向的误差与连续性</w:t>
      </w:r>
    </w:p>
    <w:p>
      <w:pPr>
        <w:pStyle w:val="Cue"/>
      </w:pPr>
      <w:r>
        <w:t>指图提示  蓝线是方向观测，不是融合后的航向；指向全记录和转弯近景。</w:t>
      </w:r>
    </w:p>
    <w:p>
      <w:r>
        <w:t>这页比较的是进入融合之前的方向观测。蓝线是我们经过质量选择后采用的方向，灰色虚线是选择前的输入，橙色标记表示RTKLIB原配置的输出。这里还没有在比较最终融合姿态。</w:t>
      </w:r>
    </w:p>
    <w:p>
      <w:r>
        <w:t>左图展示完整记录中的偏差和异常，右图放大转弯区间。我们既关心输出时误差有多大，也关心能够持续提供多少有效方向。对紧凑短基线和较大机身运动，这两个方面需要放在一起评价，才能判断这条方向来源是否适合持续参与状态更新。</w:t>
      </w:r>
    </w:p>
    <w:p>
      <w:pPr>
        <w:pStyle w:val="Transition"/>
      </w:pPr>
      <w:r>
        <w:rPr>
          <w:b/>
        </w:rPr>
        <w:t xml:space="preserve">过渡  </w:t>
      </w:r>
      <w:r>
        <w:t>对于整数候选类方法，我们进一步检查加入接受筛选后的变化。</w:t>
      </w:r>
    </w:p>
    <w:p>
      <w:pPr>
        <w:pStyle w:val="Heading1"/>
      </w:pPr>
      <w:r>
        <w:t>第10页  整数筛选的误差与输出代价</w:t>
      </w:r>
    </w:p>
    <w:p>
      <w:pPr>
        <w:pStyle w:val="Cue"/>
      </w:pPr>
      <w:r>
        <w:t>指图提示  指两个箱线图，再读各自的输出数变化。</w:t>
      </w:r>
    </w:p>
    <w:p>
      <w:r>
        <w:t>这页是大幅机身运动记录中C-LAMBDA和C-WLS的结果。左侧每组显示原始输出，右侧显示加入ratio筛选后的输出。C-LAMBDA的绝对误差中位数从约24.98度降到4.09度，C-WLS从27.00度降到4.04度。</w:t>
      </w:r>
    </w:p>
    <w:p>
      <w:r>
        <w:t>同时，C-LAMBDA的输出数从1059降到269，C-WLS从1029降到253，完整评价窗口都是1350个历元。因此筛选确实改善了典型方向误差，但它也减少了输出支持。</w:t>
      </w:r>
    </w:p>
    <w:p>
      <w:r>
        <w:t>我们要展示的是当前平台配置下的精度和可用性取舍。这里的项目筛选结果也不能直接等同于每个保留整数都正确。</w:t>
      </w:r>
    </w:p>
    <w:p>
      <w:pPr>
        <w:pStyle w:val="Transition"/>
      </w:pPr>
      <w:r>
        <w:rPr>
          <w:b/>
        </w:rPr>
        <w:t xml:space="preserve">过渡  </w:t>
      </w:r>
      <w:r>
        <w:t>把这一取舍放到三个场景中，可以通过误差分布和输出计数一起观察。</w:t>
      </w:r>
    </w:p>
    <w:p>
      <w:pPr>
        <w:pStyle w:val="Heading1"/>
      </w:pPr>
      <w:r>
        <w:t>第11页  三场景方向误差分布</w:t>
      </w:r>
    </w:p>
    <w:p>
      <w:pPr>
        <w:pStyle w:val="Cue"/>
      </w:pPr>
      <w:r>
        <w:t>指图提示  先看曲线左右位置，再单独读下方n/N输出计数。</w:t>
      </w:r>
    </w:p>
    <w:p>
      <w:r>
        <w:t>这页分别给出了正常行走、大幅机身运动和遮挡场景的方向绝对误差累积分布。曲线越靠左、上升越快，表示该方法已输出的方向中，较小误差所占的比例越高。</w:t>
      </w:r>
    </w:p>
    <w:p>
      <w:r>
        <w:t>这里的累积分布按各方法有参考支持的有效输出归一化。主图横轴只画到15度，所以曲线在右端还没有到1，表示仍然存在大于15度的误差尾部。输出覆盖率要另外读下面的n比N计数，内嵌图则给出更大的误差范围。</w:t>
      </w:r>
    </w:p>
    <w:p>
      <w:r>
        <w:t>这样，我们就能同时判断方向精度与输出支持，而不会把较低的误差简单理解成更完整的方向供给。</w:t>
      </w:r>
    </w:p>
    <w:p>
      <w:pPr>
        <w:pStyle w:val="Transition"/>
      </w:pPr>
      <w:r>
        <w:rPr>
          <w:b/>
        </w:rPr>
        <w:t xml:space="preserve">过渡  </w:t>
      </w:r>
      <w:r>
        <w:t>下一步看这些方向信息进入GNSS/INS之后，实际带来了多少航向收益。</w:t>
      </w:r>
    </w:p>
    <w:p>
      <w:pPr>
        <w:pStyle w:val="Heading1"/>
      </w:pPr>
      <w:r>
        <w:t>第12页  持续方向更新降低航向误差</w:t>
      </w:r>
    </w:p>
    <w:p>
      <w:pPr>
        <w:pStyle w:val="Cue"/>
      </w:pPr>
      <w:r>
        <w:t>指图提示  先看灰色与橙色的对照，再说明蓝色完整方法。</w:t>
      </w:r>
    </w:p>
    <w:p>
      <w:r>
        <w:t>这一页是航向主收益的核心证据。灰色是基础GNSS/INS，橙色是在此基础上加入持续方向更新，蓝色是完整方法。前两个配置共享初始方向，主要对照的是运行过程中是否继续使用方向观测。</w:t>
      </w:r>
    </w:p>
    <w:p>
      <w:r>
        <w:t>三个场景的全窗口航向RMSE，分别从8.09降到1.92度、从7.14降到1.94度、从5.74降到2.43度。这说明，在现有自然场景里，持续短基线方向更新承担了主要的航向改善作用。</w:t>
      </w:r>
    </w:p>
    <w:p>
      <w:r>
        <w:t>完整方法在此基础上再加入机身及其他辅助信息。因此，后续要用相应消融来解释附加模块的作用，不能把灰线到蓝线的全部差距都归到机身观测上。</w:t>
      </w:r>
    </w:p>
    <w:p>
      <w:pPr>
        <w:pStyle w:val="Transition"/>
      </w:pPr>
      <w:r>
        <w:rPr>
          <w:b/>
        </w:rPr>
        <w:t xml:space="preserve">过渡  </w:t>
      </w:r>
      <w:r>
        <w:t>全窗口指标之外，我们再看转弯和遮挡恢复这些局部过程。</w:t>
      </w:r>
    </w:p>
    <w:p>
      <w:pPr>
        <w:pStyle w:val="Heading1"/>
      </w:pPr>
      <w:r>
        <w:t>第13页  转弯与遮挡恢复中的航向</w:t>
      </w:r>
    </w:p>
    <w:p>
      <w:pPr>
        <w:pStyle w:val="Cue"/>
      </w:pPr>
      <w:r>
        <w:t>指图提示  左中是80到100秒转弯，右侧是遮挡及恢复。</w:t>
      </w:r>
    </w:p>
    <w:p>
      <w:r>
        <w:t>左边和中间分别是正常行走、大幅机身运动的80到100秒转弯窗口，右边是遮挡及恢复过程。可以看到，加入持续方向约束以后，航向整体偏差明显减小，但运动过程中的高频波动仍然存在。</w:t>
      </w:r>
    </w:p>
    <w:p>
      <w:r>
        <w:t>局部图的作用，是把全窗RMSE背后的过程展开：误差在什么运动状态下变化，遮挡过程中是否保持，以及恢复阶段怎样过渡。这里比较的是实际时序，不用某一个短窗口代替整个场景的指标。</w:t>
      </w:r>
    </w:p>
    <w:p>
      <w:pPr>
        <w:pStyle w:val="Transition"/>
      </w:pPr>
      <w:r>
        <w:rPr>
          <w:b/>
        </w:rPr>
        <w:t xml:space="preserve">过渡  </w:t>
      </w:r>
      <w:r>
        <w:t>在航向以外，机身倾角辅助主要作用于滚转和俯仰。</w:t>
      </w:r>
    </w:p>
    <w:p>
      <w:pPr>
        <w:pStyle w:val="Heading1"/>
      </w:pPr>
      <w:r>
        <w:t>第14页  机身倾角辅助的作用</w:t>
      </w:r>
    </w:p>
    <w:p>
      <w:pPr>
        <w:pStyle w:val="Cue"/>
      </w:pPr>
      <w:r>
        <w:t>指图提示  按正常行走 大幅动作 遮挡三列，先读Roll，再读Pitch。</w:t>
      </w:r>
    </w:p>
    <w:p>
      <w:r>
        <w:t>这一页通过关闭和启用倾角辅助的对照，查看机身观测对姿态的贡献。紫色是关闭倾角辅助，蓝色是完整方法。三个场景的滚转RMSE分别从3.33降到2.25度、从2.78降到1.97度、从1.88降到1.51度。</w:t>
      </w:r>
    </w:p>
    <w:p>
      <w:r>
        <w:t>俯仰也有改善，但各场景的幅度不同。结合前面的航向结果，可以看到不同观测的作用分工：持续方向约束主要改善航向，机身倾角辅助进一步约束滚转和俯仰。这个分工比简单地说增加传感器后整体精度更好，更能解释框架内部发生了什么。</w:t>
      </w:r>
    </w:p>
    <w:p>
      <w:pPr>
        <w:pStyle w:val="Transition"/>
      </w:pPr>
      <w:r>
        <w:rPr>
          <w:b/>
        </w:rPr>
        <w:t xml:space="preserve">过渡  </w:t>
      </w:r>
      <w:r>
        <w:t>下面进一步看机身速度辅助，重点是它在位置观测中断时能做什么。</w:t>
      </w:r>
    </w:p>
    <w:p>
      <w:pPr>
        <w:pStyle w:val="Heading1"/>
      </w:pPr>
      <w:r>
        <w:t>第15页  方向保留时的平移互补</w:t>
      </w:r>
    </w:p>
    <w:p>
      <w:pPr>
        <w:pStyle w:val="Cue"/>
      </w:pPr>
      <w:r>
        <w:t>指图提示  先指右上状态条，再看左侧误差增长和右下九组配对。</w:t>
      </w:r>
    </w:p>
    <w:p>
      <w:r>
        <w:t>这一页中断的是位置观测，机器人仍然在运动。右上状态条表明，方向观测和机身速度辅助更新在中断期间继续保留。紫色是关闭机身速度辅助，蓝色是完整方法。</w:t>
      </w:r>
    </w:p>
    <w:p>
      <w:r>
        <w:t>左侧代表例中，没有机身速度辅助时，水平误差在中断期间迅速增长；保留辅助后，误差增长明显受到抑制。右下方给出九种中断布置的配对结果。对于20秒位置观测中断，全窗口水平RMSE的中位数从约7.96米降到0.24米。</w:t>
      </w:r>
    </w:p>
    <w:p>
      <w:r>
        <w:t>这组结果表明，在方向与更新条件保持时，机身速度能够为短时缺失的位置观测提供有效补充。这里的7.96和0.24是全窗统计，不是中断结束那一刻的瞬时误差。</w:t>
      </w:r>
    </w:p>
    <w:p>
      <w:pPr>
        <w:pStyle w:val="Transition"/>
      </w:pPr>
      <w:r>
        <w:rPr>
          <w:b/>
        </w:rPr>
        <w:t xml:space="preserve">过渡  </w:t>
      </w:r>
      <w:r>
        <w:t>如果连方向和GNSS事件一起中断，当前实现会是什么表现？</w:t>
      </w:r>
    </w:p>
    <w:p>
      <w:pPr>
        <w:pStyle w:val="Heading1"/>
      </w:pPr>
      <w:r>
        <w:t>第16页  全部 GNSS 中断时的边界</w:t>
      </w:r>
    </w:p>
    <w:p>
      <w:pPr>
        <w:pStyle w:val="Cue"/>
      </w:pPr>
      <w:r>
        <w:t>指图提示  指状态条中Heading和Body update一起变浅，再指接近重合的误差曲线。</w:t>
      </w:r>
    </w:p>
    <w:p>
      <w:r>
        <w:t>这页把条件改成全部GNSS中断。按照当前实现，机身辅助更新由有效GNSS事件触发，所以这时机身速度更新也会同步暂停。对应地，启用与关闭机身速度辅助的误差曲线比较接近。</w:t>
      </w:r>
    </w:p>
    <w:p>
      <w:r>
        <w:t>20秒全部GNSS中断条件下，全窗水平RMSE中位数约为10.301和10.292米，差别很小。这个结果给出了当前方法实现中的一个明确条件：有机身速度数据，并不等于在所有中断条件下都能持续发挥同样作用，更新调度也必须允许它进入估计器。</w:t>
      </w:r>
    </w:p>
    <w:p>
      <w:r>
        <w:t>因此，前一页的收益应描述为观测和更新条件成立时的互补收益。</w:t>
      </w:r>
    </w:p>
    <w:p>
      <w:pPr>
        <w:pStyle w:val="Transition"/>
      </w:pPr>
      <w:r>
        <w:rPr>
          <w:b/>
        </w:rPr>
        <w:t xml:space="preserve">过渡  </w:t>
      </w:r>
      <w:r>
        <w:t>除了是否有观测，接下来还要看观测质量变化时的响应。</w:t>
      </w:r>
    </w:p>
    <w:p>
      <w:pPr>
        <w:pStyle w:val="Heading1"/>
      </w:pPr>
      <w:r>
        <w:t>第17页  位置质量退化与航向保护</w:t>
      </w:r>
    </w:p>
    <w:p>
      <w:pPr>
        <w:pStyle w:val="Cue"/>
      </w:pPr>
      <w:r>
        <w:t>指图提示  沿输入扰动 协方差倍率 航向响应三列讲，最后同时读航向收益和位置代价。</w:t>
      </w:r>
    </w:p>
    <w:p>
      <w:r>
        <w:t>这一页是在已有记录上加入位置噪声的受控回放。左边显示实际加入的扰动与输入上报的不确定度，中间显示运行日志中的协方差放大倍率，右边比较关闭来源加权和完整方法的航向响应。倍率越大，表示相对于该来源原来的基准，估计器降低了它的影响。</w:t>
      </w:r>
    </w:p>
    <w:p>
      <w:r>
        <w:t>在这个固定案例中，完整方法把全窗口航向RMSE从29.80度降到2.70度，避免了很大的航向偏离。同时，水平位置RMSE从3.166米变为3.557米，存在位置代价。</w:t>
      </w:r>
    </w:p>
    <w:p>
      <w:r>
        <w:t>这里曲线展示前120秒，标注数字来自完整274秒。线是每秒中位数，淡色带保留这一秒内的最小到最大范围。这个案例说明来源调整可以保护航向，同时也改变了不同状态之间的误差分配。</w:t>
      </w:r>
    </w:p>
    <w:p>
      <w:pPr>
        <w:pStyle w:val="Transition"/>
      </w:pPr>
      <w:r>
        <w:rPr>
          <w:b/>
        </w:rPr>
        <w:t xml:space="preserve">过渡  </w:t>
      </w:r>
      <w:r>
        <w:t>如果受扰的是方向观测本身，效果是否仍然这么明显？</w:t>
      </w:r>
    </w:p>
    <w:p>
      <w:pPr>
        <w:pStyle w:val="Heading1"/>
      </w:pPr>
      <w:r>
        <w:t>第18页  方向质量失配下的响应</w:t>
      </w:r>
    </w:p>
    <w:p>
      <w:pPr>
        <w:pStyle w:val="Cue"/>
      </w:pPr>
      <w:r>
        <w:t>指图提示  先看左侧方向扰动，再看右侧两条曲线的接近程度。</w:t>
      </w:r>
    </w:p>
    <w:p>
      <w:r>
        <w:t>这一页改变的是方向观测质量：方向加入噪声，而上报不确定度仍然偏乐观。读图顺序与上一页相同，从输入变化，到实际来源倍率，再到航向输出。</w:t>
      </w:r>
    </w:p>
    <w:p>
      <w:r>
        <w:t>这个案例的完整窗口航向RMSE从约1.731度降到1.631度，改善幅度明显小于位置退化案例。两条输出曲线总体接近，也与这个结果一致。中间统计的是实际记录到的更新，所以倍率摘要描述的是算法真正采用了怎样的调整。</w:t>
      </w:r>
    </w:p>
    <w:p>
      <w:r>
        <w:t>这里继续使用前120秒的每秒中位线和范围带，指标仍然是全274秒RMSE。不同来源发生退化以后，质量策略带来的作用并不相同。</w:t>
      </w:r>
    </w:p>
    <w:p>
      <w:pPr>
        <w:pStyle w:val="Transition"/>
      </w:pPr>
      <w:r>
        <w:rPr>
          <w:b/>
        </w:rPr>
        <w:t xml:space="preserve">过渡  </w:t>
      </w:r>
      <w:r>
        <w:t>再把退化放到机身速度辅助上，可以看到另一种作用分配。</w:t>
      </w:r>
    </w:p>
    <w:p>
      <w:pPr>
        <w:pStyle w:val="Heading1"/>
      </w:pPr>
      <w:r>
        <w:t>第19页  机身速度退化下的响应</w:t>
      </w:r>
    </w:p>
    <w:p>
      <w:pPr>
        <w:pStyle w:val="Cue"/>
      </w:pPr>
      <w:r>
        <w:t>指图提示  指出航向曲线几乎重合，再读水平位置RMSE。</w:t>
      </w:r>
    </w:p>
    <w:p>
      <w:r>
        <w:t>这一页对机身水平速度辅助加入噪声。右侧可以看到，两种设置的航向曲线几乎重合，完整窗口航向RMSE只相差约0.0008度，属于接近中性的变化。水平位置RMSE则从约0.10870米降到0.10007米。</w:t>
      </w:r>
    </w:p>
    <w:p>
      <w:r>
        <w:t>把这三页放在一起，能够看到同一套来源质量调整的不同结果：位置退化时出现较强的航向保护，方向质量失配时收益较小，机身速度退化时主要体现为位置改善。</w:t>
      </w:r>
    </w:p>
    <w:p>
      <w:r>
        <w:t>这些是固定代表案例。完整的配对统计也没有显示来源加权对典型航向精度普遍有利，所以论文更适合强调它在特定退化条件下的保护作用，以及相应代价。</w:t>
      </w:r>
    </w:p>
    <w:p>
      <w:pPr>
        <w:pStyle w:val="Transition"/>
      </w:pPr>
      <w:r>
        <w:rPr>
          <w:b/>
        </w:rPr>
        <w:t xml:space="preserve">过渡  </w:t>
      </w:r>
      <w:r>
        <w:t>下面把方向信息的可用性、噪声和尖峰分别展开，进一步看输入与输出的关系。</w:t>
      </w:r>
    </w:p>
    <w:p>
      <w:pPr>
        <w:pStyle w:val="Heading1"/>
      </w:pPr>
      <w:r>
        <w:t>第20页  方向可用性、噪声与尖峰</w:t>
      </w:r>
    </w:p>
    <w:p>
      <w:pPr>
        <w:pStyle w:val="Cue"/>
      </w:pPr>
      <w:r>
        <w:t>指图提示  三列依次为中断时长 噪声强度 尖峰频率。</w:t>
      </w:r>
    </w:p>
    <w:p>
      <w:r>
        <w:t>这组实验在同一条已有记录上，分别改变方向中断时长、方向噪声强度和尖峰频率。每个非零强度有九个登记变体，零强度对应同一个干净运行。</w:t>
      </w:r>
    </w:p>
    <w:p>
      <w:r>
        <w:t>上排用全窗口航向RMSE概括不同退化强度的结果。整体上，带持续方向的配置仍然保持较低误差，但不同扰动的影响程度有差别，特别是噪声增强以后，误差和变体之间的分散会发生变化。</w:t>
      </w:r>
    </w:p>
    <w:p>
      <w:r>
        <w:t>这组结果用于回答方向质量如何传递到融合输出。九个变体是同一记录上的受控回放，不能当成九次独立外场采集。</w:t>
      </w:r>
    </w:p>
    <w:p>
      <w:pPr>
        <w:pStyle w:val="Transition"/>
      </w:pPr>
      <w:r>
        <w:rPr>
          <w:b/>
        </w:rPr>
        <w:t xml:space="preserve">过渡  </w:t>
      </w:r>
      <w:r>
        <w:t>下面从统计结果转到实际的输入和输出时序。</w:t>
      </w:r>
    </w:p>
    <w:p>
      <w:pPr>
        <w:pStyle w:val="Heading1"/>
      </w:pPr>
      <w:r>
        <w:t>第21页  受扰方向输入与融合输出</w:t>
      </w:r>
    </w:p>
    <w:p>
      <w:pPr>
        <w:pStyle w:val="Cue"/>
      </w:pPr>
      <w:r>
        <w:t>指图提示  指出紫色方向输入与蓝色融合输出，按三列逐项说明。</w:t>
      </w:r>
    </w:p>
    <w:p>
      <w:r>
        <w:t>三列分别展示20秒方向中断、5度方向噪声和较高频率的方向尖峰。紫色表示方向观测，蓝色表示融合后的航向。可以看到，方向输入中的较大波动，没有逐点原样传递到融合结果。</w:t>
      </w:r>
    </w:p>
    <w:p>
      <w:r>
        <w:t>融合输出还受到惯性传播、其他观测和更新机制共同影响，因此需要把过程连起来看：哪段没有方向，噪声如何影响状态，异常出现以后输出怎样变化。这里输入和输出具有各自的采样支持，我们主要比较它们的时间响应，不用两个不同支持上的误差指标直接计算一个所谓的滤波效率。</w:t>
      </w:r>
    </w:p>
    <w:p>
      <w:pPr>
        <w:pStyle w:val="Transition"/>
      </w:pPr>
      <w:r>
        <w:rPr>
          <w:b/>
        </w:rPr>
        <w:t xml:space="preserve">过渡  </w:t>
      </w:r>
      <w:r>
        <w:t>再看三个局部事件，会更容易理解这种输入到输出的响应。</w:t>
      </w:r>
    </w:p>
    <w:p>
      <w:pPr>
        <w:pStyle w:val="Heading1"/>
      </w:pPr>
      <w:r>
        <w:t>第22页  方向退化的局部事件</w:t>
      </w:r>
    </w:p>
    <w:p>
      <w:pPr>
        <w:pStyle w:val="Cue"/>
      </w:pPr>
      <w:r>
        <w:t>指图提示  左看方向丢失与恢复 中看转弯 右看42秒附近尖峰。</w:t>
      </w:r>
    </w:p>
    <w:p>
      <w:r>
        <w:t>左图是方向丢失与恢复。灰色区域内没有方向观测，融合航向仍然输出；恢复以后再结合新方向信息继续更新。中图是80到100秒的转弯片段，右图是42秒附近的一个登记尖峰。</w:t>
      </w:r>
    </w:p>
    <w:p>
      <w:r>
        <w:t>这里蓝色是融合航向，紫色是方向观测。局部图让我们看到，状态输出与方向输入之间存在明显区别，同时也保留了机身运动带来的波动。它支持的是这些已执行条件下的保持和响应能力，不直接外推为任意长时间无GNSS条件下都能维持同样精度。</w:t>
      </w:r>
    </w:p>
    <w:p>
      <w:pPr>
        <w:pStyle w:val="Transition"/>
      </w:pPr>
      <w:r>
        <w:rPr>
          <w:b/>
        </w:rPr>
        <w:t xml:space="preserve">过渡  </w:t>
      </w:r>
      <w:r>
        <w:t>最后一组结果将我们的方法与滤波和因子图路线放在一起比较。</w:t>
      </w:r>
    </w:p>
    <w:p>
      <w:pPr>
        <w:pStyle w:val="Heading1"/>
      </w:pPr>
      <w:r>
        <w:t>第23页  横向比较 正常行走</w:t>
      </w:r>
    </w:p>
    <w:p>
      <w:pPr>
        <w:pStyle w:val="Cue"/>
      </w:pPr>
      <w:r>
        <w:t>指图提示  左看时序 右看ECDF，主动指出标定双位置IEKF在本场景更好。</w:t>
      </w:r>
    </w:p>
    <w:p>
      <w:r>
        <w:t>这页把完整方法、单位置和双位置IEKF，以及重新初始化的OiSAM放在同一场景里比较。左边看时间过程，右边看共同动态历元上的绝对航向误差分布。</w:t>
      </w:r>
    </w:p>
    <w:p>
      <w:r>
        <w:t>正常行走的共同历元航向RMSE，本文约为1.78度，OiSAM约4.66度，标定双位置IEKF约1.47度。因此在这个场景下，标定双位置IEKF的指标更好。我们的结论并不是每一个场景都取得最小误差，而是结合不同条件看方法的作用和适用性。</w:t>
      </w:r>
    </w:p>
    <w:p>
      <w:r>
        <w:t>这一组采用共同动态历元，正常场景共有274个点，与前面全频全窗口指标的统计支持不同。</w:t>
      </w:r>
    </w:p>
    <w:p>
      <w:pPr>
        <w:pStyle w:val="Transition"/>
      </w:pPr>
      <w:r>
        <w:rPr>
          <w:b/>
        </w:rPr>
        <w:t xml:space="preserve">过渡  </w:t>
      </w:r>
      <w:r>
        <w:t>接下来观察大幅机身运动场景下的比较。</w:t>
      </w:r>
    </w:p>
    <w:p>
      <w:pPr>
        <w:pStyle w:val="Heading1"/>
      </w:pPr>
      <w:r>
        <w:t>第24页  横向比较 大幅机身运动</w:t>
      </w:r>
    </w:p>
    <w:p>
      <w:pPr>
        <w:pStyle w:val="Cue"/>
      </w:pPr>
      <w:r>
        <w:t>指图提示  指右侧小误差区间的分布，再读共同历元RMSE。</w:t>
      </w:r>
    </w:p>
    <w:p>
      <w:r>
        <w:t>在大幅机身运动记录中，我们使用267个共同动态历元。本文航向RMSE约1.797度，OiSAM约2.535度；标定双位置IEKF约1.789度，与本文非常接近。</w:t>
      </w:r>
    </w:p>
    <w:p>
      <w:r>
        <w:t>这组结果说明，具有方向相关信息的方法之间，在这个场景下差距并不一定很大。相比强调一个很小的排名差异，更有意义的是观察各条路线在动态条件下的偏差、分布尾部和输出支持。因子图比较中的OiSAM仍采用已经登记的重新初始化协议。</w:t>
      </w:r>
    </w:p>
    <w:p>
      <w:pPr>
        <w:pStyle w:val="Transition"/>
      </w:pPr>
      <w:r>
        <w:rPr>
          <w:b/>
        </w:rPr>
        <w:t xml:space="preserve">过渡  </w:t>
      </w:r>
      <w:r>
        <w:t>当一侧天线受到遮挡时，这些差异会进一步改变。</w:t>
      </w:r>
    </w:p>
    <w:p>
      <w:pPr>
        <w:pStyle w:val="Heading1"/>
      </w:pPr>
      <w:r>
        <w:t>第25页  横向比较 单天线遮挡</w:t>
      </w:r>
    </w:p>
    <w:p>
      <w:pPr>
        <w:pStyle w:val="Cue"/>
      </w:pPr>
      <w:r>
        <w:t>指图提示  指灰色事件区间与右侧分布，保留共同历元条件。</w:t>
      </w:r>
    </w:p>
    <w:p>
      <w:r>
        <w:t>遮挡记录采用367个共同动态历元。本文航向RMSE约2.323度，OiSAM约3.984度；双位置IEKF的文献参数配置约2.421度，标定配置约3.902度。</w:t>
      </w:r>
    </w:p>
    <w:p>
      <w:r>
        <w:t>在这个场景中，本文的航向表现较有优势。结合前两页，可以看到，某个配置在正常场景中的优势，不一定能够直接保持到遮挡条件。我们希望通过这些比较说明，方向的质量、可用性和更新方式，会共同影响最后的航向表现。这里仍然保留每条路线原有的输入和初始化身份。</w:t>
      </w:r>
    </w:p>
    <w:p>
      <w:pPr>
        <w:pStyle w:val="Transition"/>
      </w:pPr>
      <w:r>
        <w:rPr>
          <w:b/>
        </w:rPr>
        <w:t xml:space="preserve">过渡  </w:t>
      </w:r>
      <w:r>
        <w:t>除了自然场景，还比较了位置观测中断时的航向保持。</w:t>
      </w:r>
    </w:p>
    <w:p>
      <w:pPr>
        <w:pStyle w:val="Heading1"/>
      </w:pPr>
      <w:r>
        <w:t>第26页  位置中断下的横向比较</w:t>
      </w:r>
    </w:p>
    <w:p>
      <w:pPr>
        <w:pStyle w:val="Cue"/>
      </w:pPr>
      <w:r>
        <w:t>指图提示  左看位置恢复附近的瞬态，右看18个条件的散点和中位数。</w:t>
      </w:r>
    </w:p>
    <w:p>
      <w:r>
        <w:t>左边是20秒位置观测中断的代表过程，可以看到中断期间以及位置恢复附近，不同配置的航向响应有所区别。右边汇总10秒和20秒中断、每种九个布置，共18个条件的全窗航向RMSE。</w:t>
      </w:r>
    </w:p>
    <w:p>
      <w:r>
        <w:t>本文的中位数约为1.885度，双位置IEKF约2.998度，单位置IEKF约12.431度，保留基线的IEKF约2.995度。这个结果与前面的方向作用分析相衔接：当位置观测受限时，方向相关信息及其融合方式，仍然影响航向保持和恢复响应。</w:t>
      </w:r>
    </w:p>
    <w:p>
      <w:r>
        <w:t>这里的18个条件属于受控回放，散点对应各个条件，黑色标记表示中位数。</w:t>
      </w:r>
    </w:p>
    <w:p>
      <w:pPr>
        <w:pStyle w:val="Transition"/>
      </w:pPr>
      <w:r>
        <w:rPr>
          <w:b/>
        </w:rPr>
        <w:t xml:space="preserve">过渡  </w:t>
      </w:r>
      <w:r>
        <w:t>结合前面这些证据，我准备这样收束论文的结论和贡献。</w:t>
      </w:r>
    </w:p>
    <w:p>
      <w:pPr>
        <w:pStyle w:val="Heading1"/>
      </w:pPr>
      <w:r>
        <w:t>第27页  论文结论与贡献组织</w:t>
      </w:r>
    </w:p>
    <w:p>
      <w:pPr>
        <w:pStyle w:val="Cue"/>
      </w:pPr>
      <w:r>
        <w:t>指图提示  回到科学问题，按方向 姿态和平移条件 质量响应收束。</w:t>
      </w:r>
    </w:p>
    <w:p>
      <w:r>
        <w:t>目前最明确的结论是，持续短基线方向更新带来了主要的航向精度改善，机身倾角辅助进一步改善滚转和俯仰。在方向和辅助更新保持的实验条件下，机身速度对平移也有明显帮助。来源质量调整则在部分退化条件下保护航向，同时可能带来位置代价。</w:t>
      </w:r>
    </w:p>
    <w:p>
      <w:r>
        <w:t>围绕这些结果，论文贡献准备从三个方面组织。第一是面向紧凑足式平台的方向构造、质量选择与共享状态融合。第二是通过真实场景和受控回放，量化方向与机身观测的作用分工及互补条件。第三是结合方向方法、滤波和因子图比较，说明不同质量与可用性条件下的表现和取舍。</w:t>
      </w:r>
    </w:p>
    <w:p>
      <w:r>
        <w:t>这些贡献最终还需要与相关工作逐项对照，把方法本身的变化和实验揭示的条件分别写清楚。</w:t>
      </w:r>
    </w:p>
    <w:p>
      <w:pPr>
        <w:pStyle w:val="Transition"/>
      </w:pPr>
      <w:r>
        <w:rPr>
          <w:b/>
        </w:rPr>
        <w:t xml:space="preserve">过渡  </w:t>
      </w:r>
      <w:r>
        <w:t>最后汇报当前论文推进到哪一步，以及下一步的工作安排。</w:t>
      </w:r>
    </w:p>
    <w:p>
      <w:pPr>
        <w:pStyle w:val="Heading1"/>
      </w:pPr>
      <w:r>
        <w:t>第28页  论文进展与下一步</w:t>
      </w:r>
    </w:p>
    <w:p>
      <w:pPr>
        <w:pStyle w:val="Cue"/>
      </w:pPr>
      <w:r>
        <w:t>指图提示  说明图已确认，接下来是图注和Results，不再重复讲实验数字。</w:t>
      </w:r>
    </w:p>
    <w:p>
      <w:r>
        <w:t>目前正文十组图已经确定，图面采用已经认可的R6版本，已有实验、来源和汇报材料都做了记录。下一步工作主要放在论文写作。</w:t>
      </w:r>
    </w:p>
    <w:p>
      <w:r>
        <w:t>首先统一图注里的方法名称、评价时间窗和统计口径，让每张图能够独立读懂。然后按照绝对方向需求、姿态收益、平移互补条件、质量响应和外部比较来组织Results。最后再根据这条证据链收敛贡献、摘要、引言和讨论。</w:t>
      </w:r>
    </w:p>
    <w:p>
      <w:r>
        <w:t>对于还需要补充的内容，我希望先明确它要支撑哪一句结论，再判断已有结果能否回答，避免继续增加实验却没有形成更清楚的论证。</w:t>
      </w:r>
    </w:p>
    <w:p>
      <w:pPr>
        <w:pStyle w:val="Transition"/>
      </w:pPr>
      <w:r>
        <w:rPr>
          <w:b/>
        </w:rPr>
        <w:t xml:space="preserve">过渡  </w:t>
      </w:r>
      <w:r>
        <w:t>以上是本次的主要进展，下面想请老师和同学重点讨论几个问题。</w:t>
      </w:r>
    </w:p>
    <w:p>
      <w:pPr>
        <w:pStyle w:val="Heading1"/>
      </w:pPr>
      <w:r>
        <w:t>第29页  讨论与建议</w:t>
      </w:r>
    </w:p>
    <w:p>
      <w:pPr>
        <w:pStyle w:val="Cue"/>
      </w:pPr>
      <w:r>
        <w:t>指图提示  停留在讨论页，给出希望获得反馈的具体方向。</w:t>
      </w:r>
    </w:p>
    <w:p>
      <w:r>
        <w:t>今天的汇报到这里。想请大家重点看两点：第一，围绕航向精度和条件互补来组织论文，当前的贡献表述是否足够集中；第二，正文中的主证据和补充实验怎样分配，能够让这条科学问题更清楚。</w:t>
      </w:r>
    </w:p>
    <w:p>
      <w:r>
        <w:t>后续我会以目前这套图为基础推进正文。谢谢各位老师和同学，欢迎批评指正。</w:t>
      </w:r>
    </w:p>
    <w:p>
      <w:r>
        <w:br w:type="page"/>
      </w:r>
    </w:p>
    <w:p>
      <w:pPr>
        <w:pStyle w:val="Heading1"/>
      </w:pPr>
      <w:r>
        <w:t>备用答疑</w:t>
      </w:r>
    </w:p>
    <w:p>
      <w:pPr>
        <w:pStyle w:val="Cue"/>
      </w:pPr>
      <w:r>
        <w:t>以下内容在老师或同学提出相应问题时使用，不需要在主讲中逐条念出。</w:t>
      </w:r>
    </w:p>
    <w:p>
      <w:pPr>
        <w:pStyle w:val="Heading2"/>
      </w:pPr>
      <w:r>
        <w:t>1  七次运行是不是七次独立实验</w:t>
      </w:r>
    </w:p>
    <w:p>
      <w:r>
        <w:t>这七条来自同一个接触辅助InEKF、同一段输入记录，只改变初始全局坐标朝向，并一致变换世界表达的初始状态和协方差。零度是已有主运行，其余六种设置是已有回放。逆旋转后重合是预期的等变性质，图用于解释绝对方向需求；极小残差衡量数值一致性。</w:t>
      </w:r>
    </w:p>
    <w:p>
      <w:pPr>
        <w:pStyle w:val="Heading2"/>
      </w:pPr>
      <w:r>
        <w:t>2  正常场景下IEKF更好 论文贡献在哪里</w:t>
      </w:r>
    </w:p>
    <w:p>
      <w:r>
        <w:t>我们不主张所有场景都取得最小误差。正常场景里标定双位置IEKF确实更好，大幅运动时与本文接近，遮挡和位置观测中断条件下则出现不同结果。论文的重点是紧凑平台上方向与机身观测的作用分工，以及这种互补依赖哪些可用性和质量条件。方法贡献还需要与相关工作逐项对照。</w:t>
      </w:r>
    </w:p>
    <w:p>
      <w:pPr>
        <w:pStyle w:val="Heading2"/>
      </w:pPr>
      <w:r>
        <w:t>3  参考轨迹是否是独立真值</w:t>
      </w:r>
    </w:p>
    <w:p>
      <w:r>
        <w:t>当前参考来自Fixposition商业融合输出，与GNSS输入共享来源，因此这里报告的是相对于该参考的误差。参考用于离线评价，不参与被评估方法的在线输入。更独立的参考能够进一步加强绝对精度论证，当前稿件需要清楚说明这一评价条件。</w:t>
      </w:r>
    </w:p>
    <w:p>
      <w:pPr>
        <w:pStyle w:val="Heading2"/>
      </w:pPr>
      <w:r>
        <w:t>4  为什么航向改善而位置变差</w:t>
      </w:r>
    </w:p>
    <w:p>
      <w:r>
        <w:t>姿态、速度和位置位于共同状态中，来源协方差调整会改变观测对状态更新的影响。位置噪声代表例中，航向RMSE从29.80度降至2.70度，同时水平位置从3.166米升至3.557米。这个结果显示特定退化下的航向保护及相应代价，现有整套策略开关对照还不能把全部效果唯一归因于某一个倍率。</w:t>
      </w:r>
    </w:p>
    <w:p>
      <w:pPr>
        <w:pStyle w:val="Heading2"/>
      </w:pPr>
      <w:r>
        <w:t>5  三个质量退化案例是否只挑了最好的结果</w:t>
      </w:r>
    </w:p>
    <w:p>
      <w:r>
        <w:t>选择依据是三种不同的受扰来源，以及输入、日志和时序完整可查，均使用原登记的固定seed00。第三种机身速度案例的航向几乎没有改善，也保留在汇报中。全部541个对照都有记录，其中513个双方完成，190个完整方法航向RMSE更低、323个更高，所以我们将质量调整表述为条件性保护。</w:t>
      </w:r>
    </w:p>
    <w:p>
      <w:pPr>
        <w:pStyle w:val="Heading2"/>
      </w:pPr>
      <w:r>
        <w:t>6  全部GNSS中断后能否继续依靠机身速度</w:t>
      </w:r>
    </w:p>
    <w:p>
      <w:r>
        <w:t>当前实现的机身辅助更新由有效GNSS事件触发，全部GNSS中断时，辅助更新也暂停。因此目前证据支持的是方向和辅助更新保持时的位置观测中断收益。若要研究持续的无GNSS机身辅助，需要另外处理更新调度、坐标转换和来源相关性，不能直接把现有结果外推过去。</w:t>
      </w:r>
    </w:p>
    <w:p>
      <w:pPr>
        <w:pStyle w:val="Heading2"/>
      </w:pPr>
      <w:r>
        <w:t>7  图6与横向比较的航向数字为什么不完全一样</w:t>
      </w:r>
    </w:p>
    <w:p>
      <w:r>
        <w:t>图6使用相应自然场景的全频全窗口指标；图9为了比较不同输出频率的方法，采用共同动态历元，三个场景分别为274、267和367个点。同一方法在不同统计支持上会得到不同RMSE，所以这两组数字各自服务于对应的比较，不能混在同一张排名表里。</w:t>
      </w:r>
    </w:p>
    <w:p>
      <w:pPr>
        <w:pStyle w:val="Heading2"/>
      </w:pPr>
      <w:r>
        <w:t>8  整数筛选和方向分布应该怎样解释</w:t>
      </w:r>
    </w:p>
    <w:p>
      <w:r>
        <w:t>加入ratio筛选后，典型方向误差降低，但可用输出数也减少。图5的ECDF按各方法有参考支持的有效输出归一化，覆盖率单独读n/N计数；15度处曲线没有到1，表示还存在更大的误差尾部。这个结果说明当前平台和配置下的误差与可用性取舍，不等于证明某类方法在所有足式平台上都无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304" w:bottom="1134" w:left="130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ue"/>
    </w:pPr>
    <w:r>
      <w:rPr>
        <w:color w:val="000000"/>
      </w:rPr>
      <w:t>紧凑四足机器人航向估计  组会汇报稿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Calibri" w:hAnsi="Calibri" w:eastAsia="宋体" w:cs="Calibri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微软雅黑" w:cs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 w:cs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e">
    <w:name w:val="Cue"/>
    <w:basedOn w:val="Normal"/>
    <w:pPr>
      <w:keepNext/>
      <w:spacing w:after="100"/>
    </w:pPr>
    <w:rPr>
      <w:rFonts w:ascii="Calibri" w:hAnsi="Calibri" w:eastAsia="微软雅黑" w:cs="Calibri"/>
      <w:b w:val="0"/>
      <w:color w:val="666666"/>
      <w:sz w:val="19"/>
    </w:rPr>
  </w:style>
  <w:style w:type="paragraph" w:customStyle="1" w:styleId="Transition">
    <w:name w:val="Transition"/>
    <w:basedOn w:val="Normal"/>
    <w:pPr>
      <w:keepNext w:val="0"/>
      <w:spacing w:after="100"/>
    </w:pPr>
    <w:rPr>
      <w:rFonts w:ascii="Calibri" w:hAnsi="Calibri" w:eastAsia="宋体" w:cs="Calibri"/>
      <w:b w:val="0"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紧凑四足机器人航向估计组会汇报稿</dc:title>
  <dc:subject>逐页组会口播与备用答疑</dc:subject>
  <dc:creator/>
  <cp:keywords>GNSS INS 四足机器人 航向 组会讲稿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