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融合短基线航向与机身运动信息的四足机器人GNSS/INS组合导航</w:t>
      </w:r>
    </w:p>
    <w:p>
      <w:pPr>
        <w:pStyle w:val="Heading1"/>
      </w:pPr>
      <w:r>
        <w:t>摘要</w:t>
      </w:r>
    </w:p>
    <w:p>
      <w:pPr>
        <w:widowControl/>
      </w:pPr>
      <w:r>
        <w:t>四足机器人能够低速行走、原地转向和侧向移动，其运动方向与机身朝向经常分离，给卫星导航与惯性导航融合中的航向约束带来困难。本文提出一种融合短基线航向与机身运动信息的GNSS/INS方法，利用横向布置、名义间距为0.35 m的双天线接收机位置构造航向观测，并在误差状态扩展卡尔曼滤波中联合接收机速度、多普勒速度、机身倾角和水平速度。方法根据解状态与航向残差控制观测准入，通过有界协方差膨胀降低异常观测的影响。在三个实测序列中，完整融合的水平位置RMSE为0.055～0.098 m，航向RMSE为1.886°～2.434°。541个受控案例的成对比较表明，机身倾角使519个共同完成案例的横滚、俯仰误差均降低，中位降幅分别为1.072°和0.664°。保留航向的20 s位置与速度失锁中，机身水平速度使九种失锁位置的全窗水平RMSE中位数由7.961 m降至0.241 m；当全部GNSS观测同时失效时，该辅助受航向转换与更新调度的共同限制。另四段实测中的163～173 s有效GNSS观测间隔导致明显漂移，给出了长时间缺测的失效表现。结果说明，短基线航向与机身状态在观测可用时具有互补作用。</w:t>
      </w:r>
    </w:p>
    <w:p>
      <w:pPr>
        <w:widowControl/>
      </w:pPr>
      <w:r>
        <w:rPr>
          <w:b/>
        </w:rPr>
        <w:t>关键词：</w:t>
      </w:r>
      <w:r>
        <w:t xml:space="preserve"> GNSS/INS；短基线航向；四足机器人；机身速度辅助；观测质量控制；GNSS失锁</w:t>
      </w:r>
    </w:p>
    <w:p>
      <w:pPr>
        <w:pStyle w:val="Heading1"/>
      </w:pPr>
      <w:r>
        <w:t>1 引言</w:t>
      </w:r>
    </w:p>
    <w:p>
      <w:pPr>
        <w:widowControl/>
      </w:pPr>
      <w:r>
        <w:t>户外四足机器人需要持续获得位置和机身姿态，才能完成路径跟踪、环境感知和运动控制。与通常沿前进方向运动的地面车辆相比，四足机器人的运动方式更加灵活：机器人可以缓慢移动、横向迈步，也可以在位置变化很小的情况下转动机身。因此，利用卫星导航速度方向推断机身航向，容易在这些运动中出现偏差。惯性器件可以连续传播姿态，但陀螺偏置会随时间积累为航向误差。将两个GNSS天线刚性安装在同一机身上，可由基线方向提供与前进速度无关的外部航向信息。</w:t>
      </w:r>
    </w:p>
    <w:p>
      <w:pPr>
        <w:widowControl/>
      </w:pPr>
      <w:r>
        <w:t>紧凑型机器人留给天线的安装空间有限，短基线又会放大接收机位置差中的误差。在线性近似下，航向误差约等于基线横向误差与水平基线长度之比。以0.35 m基线为例，10 mm横向误差即可产生约1.6°角度误差。两台接收机各自较小的位置误差，经过作差后仍可能形成明显的航向波动。因此，短基线航向融合不仅需要正确的天线方向关系，还需要同历元配对、解状态筛选和角度残差检验。</w:t>
      </w:r>
    </w:p>
    <w:p>
      <w:pPr>
        <w:widowControl/>
      </w:pPr>
      <w:r>
        <w:t>载波相位测姿通过相对基线与整数模糊度联合求解提高方向精度。Teunissen（2010）的GNSS罗盘理论将已知基线几何引入整数最小二乘；Liu等（2022）进一步讨论了约束缠绕最小二乘的姿态求解。另一类方法在接收机解算输出层工作，将两个位置解作为组合导航的观测输入。Pavlasek等（2021）建立了采用双位置接收机的姿态估计不变扩展卡尔曼滤波。这两类路线的观测层次、噪声结构和输出可用性各有特点，在具体安装中需要同时比较角度误差与有效输出比例。</w:t>
      </w:r>
    </w:p>
    <w:p>
      <w:pPr>
        <w:widowControl/>
      </w:pPr>
      <w:r>
        <w:t>机器人自身还通过软件接口提供倾角和速度。这些信息已经存在于机载系统，具有较低的集成成本。直接使用机器人报告状态，与将IMU、关节编码器和接触观测共同融入滤波的接触辅助方法具有不同的信息结构，例如Hartley等（2020）的接触辅助不变滤波。尤其是机身速度转换到导航坐标系时需要姿态，若该姿态依赖双天线航向，速度辅助的作用也会随航向可用性改变。针对噪声变化和模型失配，Chang等（2021）将模糊逻辑与强跟踪机制引入容积卡尔曼滤波，Jiang等（2021）比较了自适应因子和渐消因子的作用；Wang等（2020）结合紧组合、稳健滤波和车辆约束研究陆载导航。GNSS/INS因子图和稳健优化从时间联合估计与异常值抑制角度提供了其他选择（Wen等，2021，2022；Yang等，2025）。递推滤波则可通过观测准入和协方差调整控制单次更新的影响。</w:t>
      </w:r>
    </w:p>
    <w:p>
      <w:pPr>
        <w:widowControl/>
      </w:pPr>
      <w:r>
        <w:t>本文围绕四足机器人上的紧凑双天线安装，研究短基线航向、机身倾角和机身速度怎样共同改善GNSS/INS估计，以及它们在不同失锁条件下的作用。方法以接收机位置解构造航向，在同一误差状态滤波器中接入各类辅助观测，并设置质量控制和有界观测降权。实验通过三个实测序列、成对消融和受控观测失效，区分自然场景精度、异常条件完成率及各项辅助信息的实际效果量。研究重点是已有信息的融合及适用条件，载波相位模糊度求解由相应接收机或外部对比方法承担。</w:t>
      </w:r>
    </w:p>
    <w:p>
      <w:pPr>
        <w:pStyle w:val="Heading1"/>
      </w:pPr>
      <w:r>
        <w:t>2 原理与方法</w:t>
      </w:r>
    </w:p>
    <w:p>
      <w:pPr>
        <w:pStyle w:val="Heading2"/>
      </w:pPr>
      <w:r>
        <w:t>2.1 传感器布置与误差状态滤波</w:t>
      </w:r>
    </w:p>
    <w:p>
      <w:pPr>
        <w:widowControl/>
      </w:pPr>
      <w:r>
        <w:t>实验平台为Unitree Go2四足机器人。两个GNSS天线固定于同一机身安装结构两侧，名义间距为0.35 m；沿机器人前进方向观察，GNSS1位于右侧，GNSS2位于左侧。机器人机身IMU提供惯性输入，SportModeState接口提供机身横滚、俯仰和速度。Fixposition Vision-RTK 2的相机侧朝前安装，其融合输出用于结果评价。</w:t>
      </w:r>
    </w:p>
    <w:p>
      <w:pPr>
        <w:widowControl/>
      </w:pPr>
      <w:r>
        <w:t>导航坐标系采用北—东—地（NED），滤波器机体系采用前—右—下（FRD）。名义状态包括位置、速度、姿态、陀螺偏置和加速度计偏置，对应活动误差状态为</w:t>
      </w:r>
    </w:p>
    <w:p>
      <w:pPr>
        <w:spacing w:before="100" w:after="160"/>
        <w:jc w:val="center"/>
      </w:pPr>
      <m:oMathPara>
        <m:oMath>
          <m:r>
            <m:rPr>
              <m:nor/>
            </m:rPr>
            <m:t>δx = [</m:t>
          </m:r>
          <m:sSup>
            <m:e>
              <m:r>
                <m:rPr>
                  <m:nor/>
                </m:rPr>
                <m:t>δp</m:t>
              </m:r>
            </m:e>
            <m:sup>
              <m:r>
                <m:rPr>
                  <m:nor/>
                </m:rPr>
                <m:t>T</m:t>
              </m:r>
            </m:sup>
          </m:sSup>
          <m:r>
            <m:rPr>
              <m:nor/>
            </m:rPr>
            <m:t>, </m:t>
          </m:r>
          <m:sSup>
            <m:e>
              <m:r>
                <m:rPr>
                  <m:nor/>
                </m:rPr>
                <m:t>δv</m:t>
              </m:r>
            </m:e>
            <m:sup>
              <m:r>
                <m:rPr>
                  <m:nor/>
                </m:rPr>
                <m:t>T</m:t>
              </m:r>
            </m:sup>
          </m:sSup>
          <m:r>
            <m:rPr>
              <m:nor/>
            </m:rPr>
            <m:t>, </m:t>
          </m:r>
          <m:sSup>
            <m:e>
              <m:r>
                <m:rPr>
                  <m:nor/>
                </m:rPr>
                <m:t>δφ</m:t>
              </m:r>
            </m:e>
            <m:sup>
              <m:r>
                <m:rPr>
                  <m:nor/>
                </m:rPr>
                <m:t>T</m:t>
              </m:r>
            </m:sup>
          </m:sSup>
          <m:r>
            <m:rPr>
              <m:nor/>
            </m:rPr>
            <m:t>, </m:t>
          </m:r>
          <m:sSup>
            <m:e>
              <m:sSub>
                <m:e>
                  <m:r>
                    <m:rPr>
                      <m:nor/>
                    </m:rPr>
                    <m:t>δb</m:t>
                  </m:r>
                </m:e>
                <m:sub>
                  <m:r>
                    <m:rPr>
                      <m:nor/>
                    </m:rPr>
                    <m:t>g</m:t>
                  </m:r>
                </m:sub>
              </m:sSub>
            </m:e>
            <m:sup>
              <m:r>
                <m:rPr>
                  <m:nor/>
                </m:rPr>
                <m:t>T</m:t>
              </m:r>
            </m:sup>
          </m:sSup>
          <m:r>
            <m:rPr>
              <m:nor/>
            </m:rPr>
            <m:t>, </m:t>
          </m:r>
          <m:sSup>
            <m:e>
              <m:sSub>
                <m:e>
                  <m:r>
                    <m:rPr>
                      <m:nor/>
                    </m:rPr>
                    <m:t>δb</m:t>
                  </m:r>
                </m:e>
                <m:sub>
                  <m:r>
                    <m:rPr>
                      <m:nor/>
                    </m:rPr>
                    <m:t>a</m:t>
                  </m:r>
                </m:sub>
              </m:sSub>
            </m:e>
            <m:sup>
              <m:r>
                <m:rPr>
                  <m:nor/>
                </m:rPr>
                <m:t>T</m:t>
              </m:r>
            </m:sup>
          </m:sSup>
          <m:r>
            <m:rPr>
              <m:nor/>
            </m:rPr>
            <m:t>]</m:t>
          </m:r>
          <m:r>
            <m:rPr>
              <m:nor/>
            </m:rPr>
            <m:t>ᵀ</m:t>
          </m:r>
          <m:r>
            <m:rPr>
              <m:nor/>
            </m:rPr>
            <m:t>     (1)</m:t>
          </m:r>
        </m:oMath>
      </m:oMathPara>
    </w:p>
    <w:p>
      <w:pPr>
        <w:widowControl/>
      </w:pPr>
      <w:r>
        <w:t>五组误差均为三维向量，共构成15维活动误差状态。软件保留的六个比例因子槽位在本实验中固定为零。惯性机械编排利用角增量和速度增量传播名义状态，误差方程传播协方差；接入外部观测后，由扩展卡尔曼滤波计算误差修正并反馈至名义状态。协方差更新采用Joseph形式，姿态误差的处理沿用误差状态滤波框架（Solà，2017）。</w:t>
      </w:r>
    </w:p>
    <w:p>
      <w:pPr>
        <w:widowControl/>
      </w:pPr>
      <w:r>
        <w:t>每个满足条件的GNSS更新事件依次处理位置、基线航向、接收机速度、多普勒速度、机身水平速度和机身倾角。各观测共享同一位置、速度与姿态状态，因此一种观测除了直接约束其对应分量，也会通过协方差中的耦合项影响其他分量。区分各观测的准入条件与更新顺序，有助于解释后续消融和失锁实验。</w:t>
      </w:r>
    </w:p>
    <w:p>
      <w:pPr>
        <w:pStyle w:val="Heading2"/>
      </w:pPr>
      <w:r>
        <w:t>2.2 位置、速度与杆臂补偿</w:t>
      </w:r>
    </w:p>
    <w:p>
      <w:pPr>
        <w:widowControl/>
      </w:pPr>
      <w:r>
        <w:t>GNSS1观测对应天线点，滤波器位置状态对应惯性点。位置观测模型为</w:t>
      </w:r>
    </w:p>
    <w:p>
      <w:pPr>
        <w:spacing w:before="100" w:after="160"/>
        <w:jc w:val="center"/>
      </w:pPr>
      <m:oMathPara>
        <m:oMath>
          <m:sSub>
            <m:e>
              <m:r>
                <m:rPr>
                  <m:nor/>
                </m:rPr>
                <m:t>h</m:t>
              </m:r>
            </m:e>
            <m:sub>
              <m:r>
                <m:rPr>
                  <m:nor/>
                </m:rPr>
                <m:t>p</m:t>
              </m:r>
            </m:sub>
          </m:sSub>
          <m:r>
            <m:rPr>
              <m:nor/>
            </m:rPr>
            <m:t>(x) = </m:t>
          </m:r>
          <m:sSub>
            <m:e>
              <m:r>
                <m:rPr>
                  <m:nor/>
                </m:rPr>
                <m:t>p</m:t>
              </m:r>
            </m:e>
            <m:sub>
              <m:r>
                <m:rPr>
                  <m:nor/>
                </m:rPr>
                <m:t>IMU</m:t>
              </m:r>
            </m:sub>
          </m:sSub>
          <m:r>
            <m:rPr>
              <m:nor/>
            </m:rPr>
            <m:t> + </m:t>
          </m:r>
          <m:sSubSup>
            <m:e>
              <m:r>
                <m:rPr>
                  <m:nor/>
                </m:rPr>
                <m:t>C</m:t>
              </m:r>
            </m:e>
            <m:sub>
              <m:r>
                <m:rPr>
                  <m:nor/>
                </m:rPr>
                <m:t>b</m:t>
              </m:r>
            </m:sub>
            <m:sup>
              <m:r>
                <m:rPr>
                  <m:nor/>
                </m:rPr>
                <m:t>n</m:t>
              </m:r>
            </m:sup>
          </m:sSubSup>
          <m:sSub>
            <m:e>
              <m:r>
                <m:rPr>
                  <m:nor/>
                </m:rPr>
                <m:t>ℓ</m:t>
              </m:r>
            </m:e>
            <m:sub>
              <m:r>
                <m:rPr>
                  <m:nor/>
                </m:rPr>
                <m:t>1</m:t>
              </m:r>
            </m:sub>
          </m:sSub>
          <m:r>
            <m:rPr>
              <m:nor/>
            </m:rPr>
            <m:t>     (2)</m:t>
          </m:r>
        </m:oMath>
      </m:oMathPara>
    </w:p>
    <w:p>
      <w:pPr>
        <w:widowControl/>
      </w:pPr>
      <w:r>
        <w:t>其中，</w:t>
      </w:r>
      <m:oMath>
        <m:sSubSup>
          <m:e>
            <m:r>
              <m:rPr>
                <m:nor/>
              </m:rPr>
              <m:t>C</m:t>
            </m:r>
          </m:e>
          <m:sub>
            <m:r>
              <m:rPr>
                <m:nor/>
              </m:rPr>
              <m:t>b</m:t>
            </m:r>
          </m:sub>
          <m:sup>
            <m:r>
              <m:rPr>
                <m:nor/>
              </m:rPr>
              <m:t>n</m:t>
            </m:r>
          </m:sup>
        </m:sSubSup>
      </m:oMath>
      <w:r>
        <w:t>将机体系向量旋转至导航系，</w:t>
      </w:r>
      <m:oMath>
        <m:sSub>
          <m:e>
            <m:r>
              <m:rPr>
                <m:nor/>
              </m:rPr>
              <m:t>ℓ</m:t>
            </m:r>
          </m:e>
          <m:sub>
            <m:r>
              <m:rPr>
                <m:nor/>
              </m:rPr>
              <m:t>1</m:t>
            </m:r>
          </m:sub>
        </m:sSub>
      </m:oMath>
      <w:r>
        <w:t>为GNSS1相对于惯性点的配置杆臂。三个序列统一采用</w:t>
      </w:r>
      <m:oMath>
        <m:r>
          <m:rPr>
            <m:nor/>
          </m:rPr>
          <m:t>[0.03, 0.03, −0.30]</m:t>
        </m:r>
      </m:oMath>
      <w:r>
        <w:t xml:space="preserve"> m。接收机速度预测同时包含杆臂旋转速度补偿，使机身转动引起的天线点速度与惯性点平移得到区分。</w:t>
      </w:r>
    </w:p>
    <w:p>
      <w:pPr>
        <w:widowControl/>
      </w:pPr>
      <w:r>
        <w:t>接收机导航速度和多普勒派生速度作为两个独立开关的观测通道。前者直接来自接收机导航输出；后者利用GNSS1原始多普勒与卫星状态生成速度产品，再输入组合导航滤波器。多普勒速度要求至少五颗卫星，并以0.05 s为时间匹配容差，附带相应的有效性与不确定度信息。移除多普勒辅助时，普通接收机速度继续保留。两个通道共享接收机与卫星来源，其统计关系在结果解释中一并考虑。</w:t>
      </w:r>
    </w:p>
    <w:p>
      <w:pPr>
        <w:pStyle w:val="Heading2"/>
      </w:pPr>
      <w:r>
        <w:t>2.3 短基线航向及质量控制</w:t>
      </w:r>
    </w:p>
    <w:p>
      <w:pPr>
        <w:widowControl/>
      </w:pPr>
      <w:r>
        <w:t>双天线位置按接收机整数时间标记严格配对，仅在两个接收机均为载波固定解时生成航向。设局部导航系中的基线为</w:t>
      </w:r>
      <m:oMath>
        <m:r>
          <m:rPr>
            <m:nor/>
          </m:rPr>
          <m:t>b = </m:t>
        </m:r>
        <m:sSub>
          <m:e>
            <m:r>
              <m:rPr>
                <m:nor/>
              </m:rPr>
              <m:t>p</m:t>
            </m:r>
          </m:e>
          <m:sub>
            <m:r>
              <m:rPr>
                <m:nor/>
              </m:rPr>
              <m:t>2</m:t>
            </m:r>
          </m:sub>
        </m:sSub>
        <m:r>
          <m:rPr>
            <m:nor/>
          </m:rPr>
          <m:t> − </m:t>
        </m:r>
        <m:sSub>
          <m:e>
            <m:r>
              <m:rPr>
                <m:nor/>
              </m:rPr>
              <m:t>p</m:t>
            </m:r>
          </m:e>
          <m:sub>
            <m:r>
              <m:rPr>
                <m:nor/>
              </m:rPr>
              <m:t>1</m:t>
            </m:r>
          </m:sub>
        </m:sSub>
      </m:oMath>
      <w:r>
        <w:t>，则机身航向观测为</w:t>
      </w:r>
    </w:p>
    <w:p>
      <w:pPr>
        <w:spacing w:before="100" w:after="160"/>
        <w:jc w:val="center"/>
      </w:pPr>
      <m:oMathPara>
        <m:oMath>
          <m:sSub>
            <m:e>
              <m:r>
                <m:rPr>
                  <m:nor/>
                </m:rPr>
                <m:t>ψ</m:t>
              </m:r>
            </m:e>
            <m:sub>
              <m:r>
                <m:rPr>
                  <m:nor/>
                </m:rPr>
                <m:t>b</m:t>
              </m:r>
            </m:sub>
          </m:sSub>
          <m:r>
            <m:rPr>
              <m:nor/>
            </m:rPr>
            <m:t> = wrap[atan2(</m:t>
          </m:r>
          <m:sSub>
            <m:e>
              <m:r>
                <m:rPr>
                  <m:nor/>
                </m:rPr>
                <m:t>b</m:t>
              </m:r>
            </m:e>
            <m:sub>
              <m:r>
                <m:rPr>
                  <m:nor/>
                </m:rPr>
                <m:t>E</m:t>
              </m:r>
            </m:sub>
          </m:sSub>
          <m:r>
            <m:rPr>
              <m:nor/>
            </m:rPr>
            <m:t>, </m:t>
          </m:r>
          <m:sSub>
            <m:e>
              <m:r>
                <m:rPr>
                  <m:nor/>
                </m:rPr>
                <m:t>b</m:t>
              </m:r>
            </m:e>
            <m:sub>
              <m:r>
                <m:rPr>
                  <m:nor/>
                </m:rPr>
                <m:t>N</m:t>
              </m:r>
            </m:sub>
          </m:sSub>
          <m:r>
            <m:rPr>
              <m:nor/>
            </m:rPr>
            <m:t>) + </m:t>
          </m:r>
          <m:f>
            <m:num>
              <m:r>
                <m:rPr>
                  <m:nor/>
                </m:rPr>
                <m:t>π</m:t>
              </m:r>
            </m:num>
            <m:den>
              <m:r>
                <m:rPr>
                  <m:nor/>
                </m:rPr>
                <m:t>2</m:t>
              </m:r>
            </m:den>
          </m:f>
          <m:r>
            <m:rPr>
              <m:nor/>
            </m:rPr>
            <m:t>]     (3)</m:t>
          </m:r>
        </m:oMath>
      </m:oMathPara>
    </w:p>
    <w:p>
      <w:pPr>
        <w:widowControl/>
      </w:pPr>
      <w:r>
        <w:t>基线由右侧天线指向左侧天线，与前进方向相差90°，因而式（3）增加相应转角。同历元配对避免将两次运动状态作差；缺少某一端位置、时间不匹配或水平投影为零时，该历元不生成有效航向。本文采用标量航向观测，在小倾角条件下将水平投影方向与机身欧拉航向关联。</w:t>
      </w:r>
    </w:p>
    <w:p>
      <w:pPr>
        <w:widowControl/>
      </w:pPr>
      <w:r>
        <w:t>航向残差在更新前进行角度缠绕：</w:t>
      </w:r>
    </w:p>
    <w:p>
      <w:pPr>
        <w:spacing w:before="100" w:after="160"/>
        <w:jc w:val="center"/>
      </w:pPr>
      <m:oMathPara>
        <m:oMath>
          <m:sSub>
            <m:e>
              <m:r>
                <m:rPr>
                  <m:nor/>
                </m:rPr>
                <m:t>r</m:t>
              </m:r>
            </m:e>
            <m:sub>
              <m:r>
                <m:rPr>
                  <m:nor/>
                </m:rPr>
                <m:t>ψ</m:t>
              </m:r>
            </m:sub>
          </m:sSub>
          <m:r>
            <m:rPr>
              <m:nor/>
            </m:rPr>
            <m:t> = wrap(</m:t>
          </m:r>
          <m:acc>
            <m:accPr>
              <m:chr m:val="̂"/>
            </m:accPr>
            <m:e>
              <m:r>
                <m:rPr>
                  <m:nor/>
                </m:rPr>
                <m:t>ψ</m:t>
              </m:r>
            </m:e>
          </m:acc>
          <m:r>
            <m:rPr>
              <m:nor/>
            </m:rPr>
            <m:t> − </m:t>
          </m:r>
          <m:sSub>
            <m:e>
              <m:r>
                <m:rPr>
                  <m:nor/>
                </m:rPr>
                <m:t>ψ</m:t>
              </m:r>
            </m:e>
            <m:sub>
              <m:r>
                <m:rPr>
                  <m:nor/>
                </m:rPr>
                <m:t>b</m:t>
              </m:r>
            </m:sub>
          </m:sSub>
          <m:r>
            <m:rPr>
              <m:nor/>
            </m:rPr>
            <m:t>)     (4)</m:t>
          </m:r>
        </m:oMath>
      </m:oMathPara>
    </w:p>
    <w:p>
      <w:pPr>
        <w:widowControl/>
      </w:pPr>
      <w:r>
        <w:t>该处理将残差限制在主值区间，使±180°附近相邻方向保持连续。工作标准差标记设置0.5°下界。标记小于3°且残差幅值小于6°时使用正常权重；中间冲突区间将协方差乘以2.5；标记达到6°或残差达到15°时拒绝本次更新。软降权保留适度冲突观测的信息，硬门限则限制大幅角度跳变对滤波状态的直接作用。</w:t>
      </w:r>
    </w:p>
    <w:p>
      <w:pPr>
        <w:pStyle w:val="Heading2"/>
      </w:pPr>
      <w:r>
        <w:t>2.4 机身倾角与水平速度辅助</w:t>
      </w:r>
    </w:p>
    <w:p>
      <w:pPr>
        <w:widowControl/>
      </w:pPr>
      <w:r>
        <w:t>机身横滚和俯仰作为两个弱姿态观测输入，单轴工作标准差为1.6°，时间匹配容差为0.02 s。该通道补充倾角信息，以有限权重约束惯性传播，而非将机身接口姿态直接覆盖滤波状态。</w:t>
      </w:r>
    </w:p>
    <w:p>
      <w:pPr>
        <w:widowControl/>
      </w:pPr>
      <w:r>
        <w:t>机身水平速度由接口速度和姿态旋转构造：</w:t>
      </w:r>
    </w:p>
    <w:p>
      <w:pPr>
        <w:spacing w:before="100" w:after="160"/>
        <w:jc w:val="center"/>
      </w:pPr>
      <m:oMathPara>
        <m:oMath>
          <m:sSub>
            <m:e>
              <m:r>
                <m:rPr>
                  <m:nor/>
                </m:rPr>
                <m:t>v</m:t>
              </m:r>
            </m:e>
            <m:sub>
              <m:r>
                <m:rPr>
                  <m:nor/>
                </m:rPr>
                <m:t>H</m:t>
              </m:r>
            </m:sub>
          </m:sSub>
          <m:r>
            <m:rPr>
              <m:nor/>
            </m:rPr>
            <m:t> = </m:t>
          </m:r>
          <m:sSub>
            <m:e>
              <m:r>
                <m:rPr>
                  <m:nor/>
                </m:rPr>
                <m:t>Π</m:t>
              </m:r>
            </m:e>
            <m:sub>
              <m:r>
                <m:rPr>
                  <m:nor/>
                </m:rPr>
                <m:t>H</m:t>
              </m:r>
            </m:sub>
          </m:sSub>
          <m:acc>
            <m:accPr>
              <m:chr m:val="̂"/>
            </m:accPr>
            <m:e>
              <m:r>
                <m:rPr>
                  <m:nor/>
                </m:rPr>
                <m:t>C</m:t>
              </m:r>
            </m:e>
          </m:acc>
          <m:sSub>
            <m:e>
              <m:r>
                <m:rPr>
                  <m:nor/>
                </m:rPr>
                <m:t>k</m:t>
              </m:r>
            </m:e>
            <m:sub>
              <m:r>
                <m:rPr>
                  <m:nor/>
                </m:rPr>
                <m:t>HV</m:t>
              </m:r>
            </m:sub>
          </m:sSub>
          <m:sSub>
            <m:e>
              <m:r>
                <m:rPr>
                  <m:nor/>
                </m:rPr>
                <m:t>v</m:t>
              </m:r>
            </m:e>
            <m:sub>
              <m:r>
                <m:rPr>
                  <m:nor/>
                </m:rPr>
                <m:t>FLU</m:t>
              </m:r>
            </m:sub>
          </m:sSub>
          <m:r>
            <m:rPr>
              <m:nor/>
            </m:rPr>
            <m:t> ; </m:t>
          </m:r>
          <m:acc>
            <m:accPr>
              <m:chr m:val="̂"/>
            </m:accPr>
            <m:e>
              <m:r>
                <m:rPr>
                  <m:nor/>
                </m:rPr>
                <m:t>C</m:t>
              </m:r>
            </m:e>
          </m:acc>
          <m:r>
            <m:rPr>
              <m:nor/>
            </m:rPr>
            <m:t> = </m:t>
          </m:r>
          <m:sSub>
            <m:e>
              <m:r>
                <m:rPr>
                  <m:nor/>
                </m:rPr>
                <m:t>R</m:t>
              </m:r>
            </m:e>
            <m:sub>
              <m:r>
                <m:rPr>
                  <m:nor/>
                </m:rPr>
                <m:t>z</m:t>
              </m:r>
            </m:sub>
          </m:sSub>
          <m:r>
            <m:rPr>
              <m:nor/>
            </m:rPr>
            <m:t>(</m:t>
          </m:r>
          <m:sSub>
            <m:e>
              <m:r>
                <m:rPr>
                  <m:nor/>
                </m:rPr>
                <m:t>ψ</m:t>
              </m:r>
            </m:e>
            <m:sub>
              <m:r>
                <m:rPr>
                  <m:nor/>
                </m:rPr>
                <m:t>A</m:t>
              </m:r>
            </m:sub>
          </m:sSub>
          <m:r>
            <m:rPr>
              <m:nor/>
            </m:rPr>
            <m:t>)</m:t>
          </m:r>
          <m:sSub>
            <m:e>
              <m:r>
                <m:rPr>
                  <m:nor/>
                </m:rPr>
                <m:t>R</m:t>
              </m:r>
            </m:e>
            <m:sub>
              <m:r>
                <m:rPr>
                  <m:nor/>
                </m:rPr>
                <m:t>y</m:t>
              </m:r>
            </m:sub>
          </m:sSub>
          <m:r>
            <m:rPr>
              <m:nor/>
            </m:rPr>
            <m:t>(−</m:t>
          </m:r>
          <m:sSub>
            <m:e>
              <m:r>
                <m:rPr>
                  <m:nor/>
                </m:rPr>
                <m:t>θ</m:t>
              </m:r>
            </m:e>
            <m:sub>
              <m:r>
                <m:rPr>
                  <m:nor/>
                </m:rPr>
                <m:t>SDK</m:t>
              </m:r>
            </m:sub>
          </m:sSub>
          <m:r>
            <m:rPr>
              <m:nor/>
            </m:rPr>
            <m:t>)</m:t>
          </m:r>
          <m:sSub>
            <m:e>
              <m:r>
                <m:rPr>
                  <m:nor/>
                </m:rPr>
                <m:t>R</m:t>
              </m:r>
            </m:e>
            <m:sub>
              <m:r>
                <m:rPr>
                  <m:nor/>
                </m:rPr>
                <m:t>x</m:t>
              </m:r>
            </m:sub>
          </m:sSub>
          <m:r>
            <m:rPr>
              <m:nor/>
            </m:rPr>
            <m:t>(</m:t>
          </m:r>
          <m:sSub>
            <m:e>
              <m:r>
                <m:rPr>
                  <m:nor/>
                </m:rPr>
                <m:t>φ</m:t>
              </m:r>
            </m:e>
            <m:sub>
              <m:r>
                <m:rPr>
                  <m:nor/>
                </m:rPr>
                <m:t>SDK</m:t>
              </m:r>
            </m:sub>
          </m:sSub>
          <m:r>
            <m:rPr>
              <m:nor/>
            </m:rPr>
            <m:t>)M     (5)</m:t>
          </m:r>
        </m:oMath>
      </m:oMathPara>
    </w:p>
    <w:p>
      <w:pPr>
        <w:widowControl/>
      </w:pPr>
      <w:r>
        <w:t>式中，</w:t>
      </w:r>
      <m:oMath>
        <m:r>
          <m:rPr>
            <m:nor/>
          </m:rPr>
          <m:t>M = diag(1, −1, −1)</m:t>
        </m:r>
      </m:oMath>
      <w:r>
        <w:t>为本文采用的前—左—上到前—右—下转换，</w:t>
      </w:r>
      <m:oMath>
        <m:sSub>
          <m:e>
            <m:r>
              <m:rPr>
                <m:nor/>
              </m:rPr>
              <m:t>Π</m:t>
            </m:r>
          </m:e>
          <m:sub>
            <m:r>
              <m:rPr>
                <m:nor/>
              </m:rPr>
              <m:t>H</m:t>
            </m:r>
          </m:sub>
        </m:sSub>
      </m:oMath>
      <w:r>
        <w:t>选择导航系的两个水平分量，</w:t>
      </w:r>
      <m:oMath>
        <m:sSub>
          <m:e>
            <m:r>
              <m:rPr>
                <m:nor/>
              </m:rPr>
              <m:t>ψ</m:t>
            </m:r>
          </m:e>
          <m:sub>
            <m:r>
              <m:rPr>
                <m:nor/>
              </m:rPr>
              <m:t>A</m:t>
            </m:r>
          </m:sub>
        </m:sSub>
      </m:oMath>
      <w:r>
        <w:t>为速度预处理使用的基线航向流，</w:t>
      </w:r>
      <m:oMath>
        <m:sSub>
          <m:e>
            <m:r>
              <m:rPr>
                <m:nor/>
              </m:rPr>
              <m:t>k</m:t>
            </m:r>
          </m:e>
          <m:sub>
            <m:r>
              <m:rPr>
                <m:nor/>
              </m:rPr>
              <m:t>HV</m:t>
            </m:r>
          </m:sub>
        </m:sSub>
      </m:oMath>
      <w:r>
        <w:t>取1/0.962142（约1.03935），由BY2确定后固定使用。水平速度单轴工作标准差为0.132838 m/s。该转换按项目的接口坐标约定实施。水平速度匹配容差为0.08 s，仅加入水平观测；状态间协方差仍允许该更新影响垂直分量。</w:t>
      </w:r>
    </w:p>
    <w:p>
      <w:pPr>
        <w:widowControl/>
      </w:pPr>
      <w:r>
        <w:t>该辅助的有效性同时依赖航向与调度事件。基线航向用于速度坐标旋转，而机身观测通过至少保留位置、接收机速度或航向之一的有效GNSS事件进入滤波。因此，位置和速度失效而航向保留时，机身速度仍可更新；三者同时丢失时，辅助通道失去本实现中的独立更新入口。后续两类失锁实验据此设计。</w:t>
      </w:r>
    </w:p>
    <w:p>
      <w:pPr>
        <w:pStyle w:val="Heading2"/>
      </w:pPr>
      <w:r>
        <w:t>2.5 有界观测协方差膨胀</w:t>
      </w:r>
    </w:p>
    <w:p>
      <w:pPr>
        <w:widowControl/>
      </w:pPr>
      <w:r>
        <w:t>通过准入的观测也可能出现质量下降。本文结合源质量信息与滤波新息，对基础观测协方差作有界放大：</w:t>
      </w:r>
    </w:p>
    <w:p>
      <w:pPr>
        <w:spacing w:before="100" w:after="160"/>
        <w:jc w:val="center"/>
      </w:pPr>
      <m:oMathPara>
        <m:oMath>
          <m:r>
            <m:rPr>
              <m:nor/>
            </m:rPr>
            <m:t>R′ = aR ; a = min(</m:t>
          </m:r>
          <m:sSub>
            <m:e>
              <m:r>
                <m:rPr>
                  <m:nor/>
                </m:rPr>
                <m:t>a</m:t>
              </m:r>
            </m:e>
            <m:sub>
              <m:r>
                <m:rPr>
                  <m:nor/>
                </m:rPr>
                <m:t>max</m:t>
              </m:r>
            </m:sub>
          </m:sSub>
          <m:r>
            <m:rPr>
              <m:nor/>
            </m:rPr>
            <m:t>, max[1, </m:t>
          </m:r>
          <m:sSub>
            <m:e>
              <m:r>
                <m:rPr>
                  <m:nor/>
                </m:rPr>
                <m:t>a</m:t>
              </m:r>
            </m:e>
            <m:sub>
              <m:r>
                <m:rPr>
                  <m:nor/>
                </m:rPr>
                <m:t>meta</m:t>
              </m:r>
            </m:sub>
          </m:sSub>
          <m:r>
            <m:rPr>
              <m:nor/>
            </m:rPr>
            <m:t>, </m:t>
          </m:r>
          <m:sSub>
            <m:e>
              <m:r>
                <m:rPr>
                  <m:nor/>
                </m:rPr>
                <m:t>a</m:t>
              </m:r>
            </m:e>
            <m:sub>
              <m:r>
                <m:rPr>
                  <m:nor/>
                </m:rPr>
                <m:t>innov</m:t>
              </m:r>
            </m:sub>
          </m:sSub>
          <m:r>
            <m:rPr>
              <m:nor/>
            </m:rPr>
            <m:t>])     (6)</m:t>
          </m:r>
        </m:oMath>
      </m:oMathPara>
    </w:p>
    <w:p>
      <w:pPr>
        <w:widowControl/>
      </w:pPr>
      <w:r>
        <w:t>源质量因子</w:t>
      </w:r>
      <m:oMath>
        <m:sSub>
          <m:e>
            <m:r>
              <m:rPr>
                <m:nor/>
              </m:rPr>
              <m:t>a</m:t>
            </m:r>
          </m:e>
          <m:sub>
            <m:r>
              <m:rPr>
                <m:nor/>
              </m:rPr>
              <m:t>meta</m:t>
            </m:r>
          </m:sub>
        </m:sSub>
      </m:oMath>
      <w:r>
        <w:t>利用可获得的状态、工作不确定度、时间匹配和卫星质量信息。新息因子使用归一化分数</w:t>
      </w:r>
      <m:oMath>
        <m:sSub>
          <m:e>
            <m:r>
              <m:rPr>
                <m:nor/>
              </m:rPr>
              <m:t>z</m:t>
            </m:r>
          </m:e>
          <m:sub>
            <m:r>
              <m:rPr>
                <m:nor/>
              </m:rPr>
              <m:t>s</m:t>
            </m:r>
          </m:sub>
        </m:sSub>
        <m:r>
          <m:rPr>
            <m:nor/>
          </m:rPr>
          <m:t> = </m:t>
        </m:r>
        <m:rad>
          <m:deg/>
          <m:e>
            <m:f>
              <m:num>
                <m:sSup>
                  <m:e>
                    <m:sSub>
                      <m:e>
                        <m:r>
                          <m:rPr>
                            <m:nor/>
                          </m:rPr>
                          <m:t>r</m:t>
                        </m:r>
                      </m:e>
                      <m:sub>
                        <m:r>
                          <m:rPr>
                            <m:nor/>
                          </m:rPr>
                          <m:t>s</m:t>
                        </m:r>
                      </m:sub>
                    </m:sSub>
                  </m:e>
                  <m:sup>
                    <m:r>
                      <m:rPr>
                        <m:nor/>
                      </m:rPr>
                      <m:t>T</m:t>
                    </m:r>
                  </m:sup>
                </m:sSup>
                <m:sSup>
                  <m:e>
                    <m:sSub>
                      <m:e>
                        <m:r>
                          <m:rPr>
                            <m:nor/>
                          </m:rPr>
                          <m:t>S</m:t>
                        </m:r>
                      </m:e>
                      <m:sub>
                        <m:r>
                          <m:rPr>
                            <m:nor/>
                          </m:rPr>
                          <m:t>s</m:t>
                        </m:r>
                      </m:sub>
                    </m:sSub>
                  </m:e>
                  <m:sup>
                    <m:r>
                      <m:rPr>
                        <m:nor/>
                      </m:rPr>
                      <m:t>−1</m:t>
                    </m:r>
                  </m:sup>
                </m:sSup>
                <m:sSub>
                  <m:e>
                    <m:r>
                      <m:rPr>
                        <m:nor/>
                      </m:rPr>
                      <m:t>r</m:t>
                    </m:r>
                  </m:e>
                  <m:sub>
                    <m:r>
                      <m:rPr>
                        <m:nor/>
                      </m:rPr>
                      <m:t>s</m:t>
                    </m:r>
                  </m:sub>
                </m:sSub>
              </m:num>
              <m:den>
                <m:sSub>
                  <m:e>
                    <m:r>
                      <m:rPr>
                        <m:nor/>
                      </m:rPr>
                      <m:t>d</m:t>
                    </m:r>
                  </m:e>
                  <m:sub>
                    <m:r>
                      <m:rPr>
                        <m:nor/>
                      </m:rPr>
                      <m:t>s</m:t>
                    </m:r>
                  </m:sub>
                </m:sSub>
              </m:den>
            </m:f>
          </m:e>
        </m:rad>
      </m:oMath>
      <w:r>
        <w:t>，其中</w:t>
      </w:r>
      <m:oMath>
        <m:sSub>
          <m:e>
            <m:r>
              <m:rPr>
                <m:nor/>
              </m:rPr>
              <m:t>S</m:t>
            </m:r>
          </m:e>
          <m:sub>
            <m:r>
              <m:rPr>
                <m:nor/>
              </m:rPr>
              <m:t>s</m:t>
            </m:r>
          </m:sub>
        </m:sSub>
      </m:oMath>
      <w:r>
        <w:t>为新息协方差、</w:t>
      </w:r>
      <m:oMath>
        <m:sSub>
          <m:e>
            <m:r>
              <m:rPr>
                <m:nor/>
              </m:rPr>
              <m:t>d</m:t>
            </m:r>
          </m:e>
          <m:sub>
            <m:r>
              <m:rPr>
                <m:nor/>
              </m:rPr>
              <m:t>s</m:t>
            </m:r>
          </m:sub>
        </m:sSub>
      </m:oMath>
      <w:r>
        <w:t>为观测维数。分数不超过1.5时保持死区；超过死区后，放大因子按超出量的平方增长。分数超过2.5与4时，二次项系数分别使用1.2与1.6倍倍率，各来源基础系数和上限见表1。</w:t>
      </w:r>
    </w:p>
    <w:p>
      <w:pPr>
        <w:keepNext/>
        <w:widowControl/>
      </w:pPr>
      <w:r>
        <w:rPr>
          <w:b/>
        </w:rPr>
        <w:t>表1 各观测的协方差膨胀系数与上限</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137"/>
        <w:gridCol w:w="3137"/>
        <w:gridCol w:w="3137"/>
      </w:tblGrid>
      <w:tr>
        <w:trPr>
          <w:cantSplit/>
          <w:tblHeader/>
        </w:trPr>
        <w:tc>
          <w:tcPr>
            <w:tcW w:type="dxa" w:w="4535"/>
            <w:vAlign w:val="center"/>
            <w:shd w:fill="E5E7EB"/>
          </w:tcPr>
          <w:p>
            <w:pPr>
              <w:keepNext/>
              <w:spacing w:line="240" w:lineRule="auto" w:after="80" w:before="80"/>
              <w:jc w:val="left"/>
            </w:pPr>
            <w:r>
              <w:rPr>
                <w:b/>
                <w:sz w:val="19"/>
              </w:rPr>
              <w:t>观测来源</w:t>
            </w:r>
          </w:p>
        </w:tc>
        <w:tc>
          <w:tcPr>
            <w:tcW w:type="dxa" w:w="2438"/>
            <w:vAlign w:val="center"/>
            <w:shd w:fill="E5E7EB"/>
          </w:tcPr>
          <w:p>
            <w:pPr>
              <w:keepNext/>
              <w:spacing w:line="240" w:lineRule="auto" w:after="80" w:before="80"/>
              <w:jc w:val="center"/>
            </w:pPr>
            <w:r>
              <w:rPr>
                <w:b/>
                <w:sz w:val="19"/>
              </w:rPr>
              <w:t>二次项系数</w:t>
            </w:r>
          </w:p>
        </w:tc>
        <w:tc>
          <w:tcPr>
            <w:tcW w:type="dxa" w:w="2438"/>
            <w:vAlign w:val="center"/>
            <w:shd w:fill="E5E7EB"/>
          </w:tcPr>
          <w:p>
            <w:pPr>
              <w:keepNext/>
              <w:spacing w:line="240" w:lineRule="auto" w:after="80" w:before="80"/>
              <w:jc w:val="center"/>
            </w:pPr>
            <w:r>
              <w:rPr>
                <w:b/>
                <w:sz w:val="19"/>
              </w:rPr>
              <w:t>协方差倍率上限</w:t>
            </w:r>
          </w:p>
        </w:tc>
      </w:tr>
      <w:tr>
        <w:trPr>
          <w:cantSplit/>
        </w:trPr>
        <w:tc>
          <w:tcPr>
            <w:tcW w:type="dxa" w:w="4535"/>
            <w:vAlign w:val="center"/>
          </w:tcPr>
          <w:p>
            <w:pPr>
              <w:keepNext/>
              <w:spacing w:line="240" w:lineRule="auto" w:after="80" w:before="80"/>
              <w:jc w:val="left"/>
            </w:pPr>
            <w:r>
              <w:rPr>
                <w:b w:val="0"/>
                <w:sz w:val="19"/>
              </w:rPr>
              <w:t>GNSS位置</w:t>
            </w:r>
          </w:p>
        </w:tc>
        <w:tc>
          <w:tcPr>
            <w:tcW w:type="dxa" w:w="2438"/>
            <w:vAlign w:val="center"/>
          </w:tcPr>
          <w:p>
            <w:pPr>
              <w:keepNext/>
              <w:spacing w:line="240" w:lineRule="auto" w:after="80" w:before="80"/>
              <w:jc w:val="center"/>
            </w:pPr>
            <w:r>
              <w:rPr>
                <w:b w:val="0"/>
                <w:sz w:val="19"/>
              </w:rPr>
              <w:t>0.00003</w:t>
            </w:r>
          </w:p>
        </w:tc>
        <w:tc>
          <w:tcPr>
            <w:tcW w:type="dxa" w:w="2438"/>
            <w:vAlign w:val="center"/>
          </w:tcPr>
          <w:p>
            <w:pPr>
              <w:keepNext/>
              <w:spacing w:line="240" w:lineRule="auto" w:after="80" w:before="80"/>
              <w:jc w:val="center"/>
            </w:pPr>
            <w:r>
              <w:rPr>
                <w:b w:val="0"/>
                <w:sz w:val="19"/>
              </w:rPr>
              <w:t>5</w:t>
            </w:r>
          </w:p>
        </w:tc>
      </w:tr>
      <w:tr>
        <w:trPr>
          <w:cantSplit/>
        </w:trPr>
        <w:tc>
          <w:tcPr>
            <w:tcW w:type="dxa" w:w="4535"/>
            <w:vAlign w:val="center"/>
          </w:tcPr>
          <w:p>
            <w:pPr>
              <w:keepNext/>
              <w:spacing w:line="240" w:lineRule="auto" w:after="80" w:before="80"/>
              <w:jc w:val="left"/>
            </w:pPr>
            <w:r>
              <w:rPr>
                <w:b w:val="0"/>
                <w:sz w:val="19"/>
              </w:rPr>
              <w:t>接收机速度</w:t>
            </w:r>
          </w:p>
        </w:tc>
        <w:tc>
          <w:tcPr>
            <w:tcW w:type="dxa" w:w="2438"/>
            <w:vAlign w:val="center"/>
          </w:tcPr>
          <w:p>
            <w:pPr>
              <w:keepNext/>
              <w:spacing w:line="240" w:lineRule="auto" w:after="80" w:before="80"/>
              <w:jc w:val="center"/>
            </w:pPr>
            <w:r>
              <w:rPr>
                <w:b w:val="0"/>
                <w:sz w:val="19"/>
              </w:rPr>
              <w:t>0.04</w:t>
            </w:r>
          </w:p>
        </w:tc>
        <w:tc>
          <w:tcPr>
            <w:tcW w:type="dxa" w:w="2438"/>
            <w:vAlign w:val="center"/>
          </w:tcPr>
          <w:p>
            <w:pPr>
              <w:keepNext/>
              <w:spacing w:line="240" w:lineRule="auto" w:after="80" w:before="80"/>
              <w:jc w:val="center"/>
            </w:pPr>
            <w:r>
              <w:rPr>
                <w:b w:val="0"/>
                <w:sz w:val="19"/>
              </w:rPr>
              <w:t>8</w:t>
            </w:r>
          </w:p>
        </w:tc>
      </w:tr>
      <w:tr>
        <w:trPr>
          <w:cantSplit/>
        </w:trPr>
        <w:tc>
          <w:tcPr>
            <w:tcW w:type="dxa" w:w="4535"/>
            <w:vAlign w:val="center"/>
          </w:tcPr>
          <w:p>
            <w:pPr>
              <w:keepNext/>
              <w:spacing w:line="240" w:lineRule="auto" w:after="80" w:before="80"/>
              <w:jc w:val="left"/>
            </w:pPr>
            <w:r>
              <w:rPr>
                <w:b w:val="0"/>
                <w:sz w:val="19"/>
              </w:rPr>
              <w:t>短基线航向</w:t>
            </w:r>
          </w:p>
        </w:tc>
        <w:tc>
          <w:tcPr>
            <w:tcW w:type="dxa" w:w="2438"/>
            <w:vAlign w:val="center"/>
          </w:tcPr>
          <w:p>
            <w:pPr>
              <w:keepNext/>
              <w:spacing w:line="240" w:lineRule="auto" w:after="80" w:before="80"/>
              <w:jc w:val="center"/>
            </w:pPr>
            <w:r>
              <w:rPr>
                <w:b w:val="0"/>
                <w:sz w:val="19"/>
              </w:rPr>
              <w:t>0.03</w:t>
            </w:r>
          </w:p>
        </w:tc>
        <w:tc>
          <w:tcPr>
            <w:tcW w:type="dxa" w:w="2438"/>
            <w:vAlign w:val="center"/>
          </w:tcPr>
          <w:p>
            <w:pPr>
              <w:keepNext/>
              <w:spacing w:line="240" w:lineRule="auto" w:after="80" w:before="80"/>
              <w:jc w:val="center"/>
            </w:pPr>
            <w:r>
              <w:rPr>
                <w:b w:val="0"/>
                <w:sz w:val="19"/>
              </w:rPr>
              <w:t>10</w:t>
            </w:r>
          </w:p>
        </w:tc>
      </w:tr>
      <w:tr>
        <w:trPr>
          <w:cantSplit/>
        </w:trPr>
        <w:tc>
          <w:tcPr>
            <w:tcW w:type="dxa" w:w="4535"/>
            <w:vAlign w:val="center"/>
          </w:tcPr>
          <w:p>
            <w:pPr>
              <w:keepNext/>
              <w:spacing w:line="240" w:lineRule="auto" w:after="80" w:before="80"/>
              <w:jc w:val="left"/>
            </w:pPr>
            <w:r>
              <w:rPr>
                <w:b w:val="0"/>
                <w:sz w:val="19"/>
              </w:rPr>
              <w:t>多普勒速度</w:t>
            </w:r>
          </w:p>
        </w:tc>
        <w:tc>
          <w:tcPr>
            <w:tcW w:type="dxa" w:w="2438"/>
            <w:vAlign w:val="center"/>
          </w:tcPr>
          <w:p>
            <w:pPr>
              <w:keepNext/>
              <w:spacing w:line="240" w:lineRule="auto" w:after="80" w:before="80"/>
              <w:jc w:val="center"/>
            </w:pPr>
            <w:r>
              <w:rPr>
                <w:b w:val="0"/>
                <w:sz w:val="19"/>
              </w:rPr>
              <w:t>0.35</w:t>
            </w:r>
          </w:p>
        </w:tc>
        <w:tc>
          <w:tcPr>
            <w:tcW w:type="dxa" w:w="2438"/>
            <w:vAlign w:val="center"/>
          </w:tcPr>
          <w:p>
            <w:pPr>
              <w:keepNext/>
              <w:spacing w:line="240" w:lineRule="auto" w:after="80" w:before="80"/>
              <w:jc w:val="center"/>
            </w:pPr>
            <w:r>
              <w:rPr>
                <w:b w:val="0"/>
                <w:sz w:val="19"/>
              </w:rPr>
              <w:t>15</w:t>
            </w:r>
          </w:p>
        </w:tc>
      </w:tr>
      <w:tr>
        <w:trPr>
          <w:cantSplit/>
        </w:trPr>
        <w:tc>
          <w:tcPr>
            <w:tcW w:type="dxa" w:w="4535"/>
            <w:vAlign w:val="center"/>
          </w:tcPr>
          <w:p>
            <w:pPr>
              <w:keepNext/>
              <w:spacing w:line="240" w:lineRule="auto" w:after="80" w:before="80"/>
              <w:jc w:val="left"/>
            </w:pPr>
            <w:r>
              <w:rPr>
                <w:b w:val="0"/>
                <w:sz w:val="19"/>
              </w:rPr>
              <w:t>机身横滚与俯仰</w:t>
            </w:r>
          </w:p>
        </w:tc>
        <w:tc>
          <w:tcPr>
            <w:tcW w:type="dxa" w:w="2438"/>
            <w:vAlign w:val="center"/>
          </w:tcPr>
          <w:p>
            <w:pPr>
              <w:keepNext/>
              <w:spacing w:line="240" w:lineRule="auto" w:after="80" w:before="80"/>
              <w:jc w:val="center"/>
            </w:pPr>
            <w:r>
              <w:rPr>
                <w:b w:val="0"/>
                <w:sz w:val="19"/>
              </w:rPr>
              <w:t>0.02</w:t>
            </w:r>
          </w:p>
        </w:tc>
        <w:tc>
          <w:tcPr>
            <w:tcW w:type="dxa" w:w="2438"/>
            <w:vAlign w:val="center"/>
          </w:tcPr>
          <w:p>
            <w:pPr>
              <w:keepNext/>
              <w:spacing w:line="240" w:lineRule="auto" w:after="80" w:before="80"/>
              <w:jc w:val="center"/>
            </w:pPr>
            <w:r>
              <w:rPr>
                <w:b w:val="0"/>
                <w:sz w:val="19"/>
              </w:rPr>
              <w:t>10</w:t>
            </w:r>
          </w:p>
        </w:tc>
      </w:tr>
      <w:tr>
        <w:trPr>
          <w:cantSplit/>
        </w:trPr>
        <w:tc>
          <w:tcPr>
            <w:tcW w:type="dxa" w:w="4535"/>
            <w:vAlign w:val="center"/>
          </w:tcPr>
          <w:p>
            <w:pPr>
              <w:keepNext w:val="0"/>
              <w:spacing w:line="240" w:lineRule="auto" w:after="80" w:before="80"/>
              <w:jc w:val="left"/>
            </w:pPr>
            <w:r>
              <w:rPr>
                <w:b w:val="0"/>
                <w:sz w:val="19"/>
              </w:rPr>
              <w:t>机身水平速度</w:t>
            </w:r>
          </w:p>
        </w:tc>
        <w:tc>
          <w:tcPr>
            <w:tcW w:type="dxa" w:w="2438"/>
            <w:vAlign w:val="center"/>
          </w:tcPr>
          <w:p>
            <w:pPr>
              <w:keepNext w:val="0"/>
              <w:spacing w:line="240" w:lineRule="auto" w:after="80" w:before="80"/>
              <w:jc w:val="center"/>
            </w:pPr>
            <w:r>
              <w:rPr>
                <w:b w:val="0"/>
                <w:sz w:val="19"/>
              </w:rPr>
              <w:t>0.03</w:t>
            </w:r>
          </w:p>
        </w:tc>
        <w:tc>
          <w:tcPr>
            <w:tcW w:type="dxa" w:w="2438"/>
            <w:vAlign w:val="center"/>
          </w:tcPr>
          <w:p>
            <w:pPr>
              <w:keepNext w:val="0"/>
              <w:spacing w:line="240" w:lineRule="auto" w:after="80" w:before="80"/>
              <w:jc w:val="center"/>
            </w:pPr>
            <w:r>
              <w:rPr>
                <w:b w:val="0"/>
                <w:sz w:val="19"/>
              </w:rPr>
              <w:t>10</w:t>
            </w:r>
          </w:p>
        </w:tc>
      </w:tr>
    </w:tbl>
    <w:p>
      <w:pPr>
        <w:widowControl/>
      </w:pPr>
      <w:r>
        <w:t>式（6）取两类质量因子的较大值，避免对同一观测重复累乘惩罚，同时用上限控制协方差增长。基础协方差构成下界。滑动中位数与MAD仅记录异常诊断。所有来源系数在三个序列中保持一致；实验分别评价该策略对完成率和误差的作用。</w:t>
      </w:r>
    </w:p>
    <w:p>
      <w:pPr>
        <w:pStyle w:val="Heading1"/>
      </w:pPr>
      <w:r>
        <w:t>3 实验设计</w:t>
      </w:r>
    </w:p>
    <w:p>
      <w:pPr>
        <w:pStyle w:val="Heading2"/>
      </w:pPr>
      <w:r>
        <w:t>3.1 实测序列与评价参考</w:t>
      </w:r>
    </w:p>
    <w:p>
      <w:pPr>
        <w:widowControl/>
      </w:pPr>
      <w:r>
        <w:t>实验采用同一机器人安装下的BY2、BY2H和BY2O三个实测序列，评价窗长分别为274、270和377 s，包含行走、转向和静止过程。BY2是唯一用于数值调参的序列，BY2H和BY2O沿用其模型、噪声、尺度和权重参数，没有再次调整数值参数，仅改变各序列的数据文件、窗口与初值。三个序列采用相同安装，用于比较固定参数在不同运动和接收机条件下的表现。</w:t>
      </w:r>
    </w:p>
    <w:p>
      <w:pPr>
        <w:widowControl/>
      </w:pPr>
      <w:r>
        <w:t>机身IMU与GNSS采用各自设备时间。采集时通过刻意踢动引起的机身IMU响应，结合接收机位置、速度的启动波动确定公共起点。位置统一转换至声明的双天线中点后进行比较，配置杆臂和事件对齐在各内部对照中保持一致。Fixposition融合轨迹作为共同参考，具有自身视觉和惯性输入，同时共享GNSS来源。因此，本文的误差指标描述与该商用参考的相对一致性；名义安装参数、接口速度坐标约定及事件对齐共同构成实验测量条件。</w:t>
      </w:r>
    </w:p>
    <w:p>
      <w:pPr>
        <w:widowControl/>
      </w:pPr>
      <w:r>
        <w:t>此外，采用2026年1月5日同一安装采集的NMB1～NMB4和XB1～XB4八段记录，评价既定参数在新记录中的表现。附加数据使用显式IMU间隔的连续性实现，滤波噪声、速度尺度和观测权重沿用BY2确定的数值。机身时间根据输入传感器的共同变化对齐：四段接收机与机身速度模长的相关峰为0.98～1.02 s，NMB1、NMB2的双天线航向变化率与机身陀螺角速度的相关峰均为1.14 s，改变平滑窗口后均为1.16 s。以直接IMU结果取0.1 s精度，将机身消息时间统一减去1.1 s，再关联基线航向生成水平速度观测。多普勒速度由各段原始RAWX/SFRBX数据重建。</w:t>
      </w:r>
    </w:p>
    <w:p>
      <w:pPr>
        <w:widowControl/>
      </w:pPr>
      <w:r>
        <w:t>附加实验比较航向质量控制与接收机速度基准和完整融合。两者采用相同初始化规则与共同评价时间点，八段记录均纳入可用性统计。商用参考平均输出间隔约0.05 s，记录时间呈成组到达，其相邻间隔最大值为0.108～0.115 s；附加数据统一采用不超过0.15 s的参考插值间隔，并在记录范围内匹配。输出支持以各段实际机身记录历元为分母。</w:t>
      </w:r>
    </w:p>
    <w:p>
      <w:pPr>
        <w:pStyle w:val="Heading2"/>
      </w:pPr>
      <w:r>
        <w:t>3.2 内部配置与横向对比</w:t>
      </w:r>
    </w:p>
    <w:p>
      <w:pPr>
        <w:widowControl/>
      </w:pPr>
      <w:r>
        <w:t>内部实验设置十一种配置。三种结构基线分别为无在线航向更新的GNSS/INS、基础位置—航向融合，以及采用接收机速度与航向质量控制的融合。三者初始化均使用双接收机信息。基础位置—航向配置关闭接收机速度，使用2.933193°固定航向工作标准差；第三种基线同时改变速度使用和航向处理，因此二者差异按组合结构变化解释。</w:t>
      </w:r>
    </w:p>
    <w:p>
      <w:pPr>
        <w:widowControl/>
      </w:pPr>
      <w:r>
        <w:t>完整融合在航向质量控制基线上加入多普勒速度、协方差膨胀、机身倾角和机身水平速度。四种直接消融分别移除其中一项，保持其他观测与航向分支一致。另三种配置分别同时移除两类机身辅助、仅保留多普勒增量，或仅保留协方差膨胀。直接消融用于检验各项信息在同一滤波结构中的贡献。</w:t>
      </w:r>
    </w:p>
    <w:p>
      <w:pPr>
        <w:widowControl/>
      </w:pPr>
      <w:r>
        <w:t>外部比较包括双位置接收机IEKF、RTKLIB动基线、约束载波相位罗盘及Wen和OiSAM因子图路线。各方法输入横跨接收机位置解、伪距、载波、多普勒与惯性数据，并按各自初始化、输出点和有效支持集评价。IEKF的文献参数与项目参数配置分别保留，因子图的连续与分段初始化协议分别统计。该设计比较不同导航配置的实际输出和可用性。</w:t>
      </w:r>
    </w:p>
    <w:p>
      <w:pPr>
        <w:pStyle w:val="Heading2"/>
      </w:pPr>
      <w:r>
        <w:t>3.3 受控扰动与两类失锁</w:t>
      </w:r>
    </w:p>
    <w:p>
      <w:pPr>
        <w:widowControl/>
      </w:pPr>
      <w:r>
        <w:t>主扰动集以BY2原始案例为基础，将60种扰动施加于九个指定位置，与未扰动案例合计541个案例。十一种配置对应5951次运行。另设45个失锁案例：全部GNSS丢失包含10、20和30 s三种时长，每种九个位置；保留航向而移除位置与速度包含10和20 s两种时长，每种九个位置，合计495次运行。再加入BY2H、BY2O上各十一种自然序列运行，总计6468次。</w:t>
      </w:r>
    </w:p>
    <w:p>
      <w:pPr>
        <w:widowControl/>
      </w:pPr>
      <w:r>
        <w:t>扰动修改记录中的观测，使各配置接受同一故障安排。全部失锁时，位置、接收机速度、多普勒速度和航向同时不可用；保留航向时，前三类平移观测不可用，基线航向与依赖该航向构造的机身速度继续满足对应条件。两类实验均将完整融合与移除机身水平速度的配置成对比较，以区分速度辅助在不同观测条件下的表现。</w:t>
      </w:r>
    </w:p>
    <w:p>
      <w:pPr>
        <w:pStyle w:val="Heading2"/>
      </w:pPr>
      <w:r>
        <w:t>3.4 指标与成对统计</w:t>
      </w:r>
    </w:p>
    <w:p>
      <w:pPr>
        <w:widowControl/>
      </w:pPr>
      <w:r>
        <w:t>位置指标包括水平、垂直和三维RMSE，姿态分别评价缠绕后的航向误差、横滚误差和俯仰误差。消融以同一案例中“完整融合减去消融”的RMSE差值统计均值与中位数，负值表示完整融合误差较低。均值反映极端案例对整体的影响，中位数描述共同完成案例中的典型变化。</w:t>
      </w:r>
    </w:p>
    <w:p>
      <w:pPr>
        <w:widowControl/>
      </w:pPr>
      <w:r>
        <w:t>运行失败保留在完成率分母中，区分发散与初始航向不可用；成对误差仅使用双方均完成的案例，同时列出单侧完成情况。失锁指标采用包含故障前、故障中与恢复后的完整评价窗口。受控案例复用同一运动记录，因此以扰动案例和布置为描述单位，避免将相关采样点解释为独立实地重复实验。</w:t>
      </w:r>
    </w:p>
    <w:p>
      <w:pPr>
        <w:pStyle w:val="Heading1"/>
      </w:pPr>
      <w:r>
        <w:t>4 实验结果</w:t>
      </w:r>
    </w:p>
    <w:p>
      <w:pPr>
        <w:pStyle w:val="Heading2"/>
      </w:pPr>
      <w:r>
        <w:t>4.1 三个自然序列的位置与姿态</w:t>
      </w:r>
    </w:p>
    <w:p>
      <w:pPr>
        <w:widowControl/>
      </w:pPr>
      <w:r>
        <w:t>含在线短基线航向的配置在三个序列中均取得较低的航向误差。表2中，完整融合的航向RMSE分别为1.886°、1.934°和2.434°，无在线航向更新时分别为8.090°、7.137°和5.739°。在低速、转向和静止混合的记录中，含持续基线方向更新的配置具有更好的航向一致性。</w:t>
      </w:r>
    </w:p>
    <w:p>
      <w:pPr>
        <w:keepNext/>
        <w:widowControl/>
      </w:pPr>
      <w:r>
        <w:rPr>
          <w:b/>
        </w:rPr>
        <w:t>表2 自然序列的水平位置与航向RMSE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1247"/>
            <w:vAlign w:val="center"/>
            <w:shd w:fill="E5E7EB"/>
          </w:tcPr>
          <w:p>
            <w:pPr>
              <w:keepNext/>
              <w:spacing w:line="240" w:lineRule="auto" w:after="80" w:before="80"/>
              <w:jc w:val="left"/>
            </w:pPr>
            <w:r>
              <w:rPr>
                <w:b/>
                <w:sz w:val="19"/>
              </w:rPr>
              <w:t>序列</w:t>
            </w:r>
          </w:p>
        </w:tc>
        <w:tc>
          <w:tcPr>
            <w:tcW w:type="dxa" w:w="2665"/>
            <w:vAlign w:val="center"/>
            <w:shd w:fill="E5E7EB"/>
          </w:tcPr>
          <w:p>
            <w:pPr>
              <w:keepNext/>
              <w:spacing w:line="240" w:lineRule="auto" w:after="80" w:before="80"/>
              <w:jc w:val="center"/>
            </w:pPr>
            <w:r>
              <w:rPr>
                <w:b/>
                <w:sz w:val="19"/>
              </w:rPr>
              <w:t>配置</w:t>
            </w:r>
          </w:p>
        </w:tc>
        <w:tc>
          <w:tcPr>
            <w:tcW w:type="dxa" w:w="1701"/>
            <w:vAlign w:val="center"/>
            <w:shd w:fill="E5E7EB"/>
          </w:tcPr>
          <w:p>
            <w:pPr>
              <w:keepNext/>
              <w:spacing w:line="240" w:lineRule="auto" w:after="80" w:before="80"/>
              <w:jc w:val="center"/>
            </w:pPr>
            <w:r>
              <w:rPr>
                <w:b/>
                <w:sz w:val="19"/>
              </w:rPr>
              <w:t>水平RMSE（m）</w:t>
            </w:r>
          </w:p>
        </w:tc>
        <w:tc>
          <w:tcPr>
            <w:tcW w:type="dxa" w:w="1701"/>
            <w:vAlign w:val="center"/>
            <w:shd w:fill="E5E7EB"/>
          </w:tcPr>
          <w:p>
            <w:pPr>
              <w:keepNext/>
              <w:spacing w:line="240" w:lineRule="auto" w:after="80" w:before="80"/>
              <w:jc w:val="center"/>
            </w:pPr>
            <w:r>
              <w:rPr>
                <w:b/>
                <w:sz w:val="19"/>
              </w:rPr>
              <w:t>航向RMSE（°）</w:t>
            </w:r>
          </w:p>
        </w:tc>
        <w:tc>
          <w:tcPr>
            <w:tcW w:type="dxa" w:w="2098"/>
            <w:vAlign w:val="center"/>
            <w:shd w:fill="E5E7EB"/>
          </w:tcPr>
          <w:p>
            <w:pPr>
              <w:keepNext/>
              <w:spacing w:line="240" w:lineRule="auto" w:after="80" w:before="80"/>
              <w:jc w:val="center"/>
            </w:pPr>
            <w:r>
              <w:rPr>
                <w:b/>
                <w:sz w:val="19"/>
              </w:rPr>
              <w:t>匹配历元数</w:t>
            </w:r>
          </w:p>
        </w:tc>
      </w:tr>
      <w:tr>
        <w:trPr>
          <w:cantSplit/>
        </w:trPr>
        <w:tc>
          <w:tcPr>
            <w:tcW w:type="dxa" w:w="1247"/>
            <w:vAlign w:val="center"/>
          </w:tcPr>
          <w:p>
            <w:pPr>
              <w:keepNext/>
              <w:spacing w:line="240" w:lineRule="auto" w:after="80" w:before="80"/>
              <w:jc w:val="left"/>
            </w:pPr>
            <w:r>
              <w:rPr>
                <w:b w:val="0"/>
                <w:sz w:val="19"/>
              </w:rPr>
              <w:t>BY2</w:t>
            </w:r>
          </w:p>
        </w:tc>
        <w:tc>
          <w:tcPr>
            <w:tcW w:type="dxa" w:w="2665"/>
            <w:vAlign w:val="center"/>
          </w:tcPr>
          <w:p>
            <w:pPr>
              <w:keepNext/>
              <w:spacing w:line="240" w:lineRule="auto" w:after="80" w:before="80"/>
              <w:jc w:val="center"/>
            </w:pPr>
            <w:r>
              <w:rPr>
                <w:b w:val="0"/>
                <w:sz w:val="19"/>
              </w:rPr>
              <w:t>无在线航向更新</w:t>
            </w:r>
          </w:p>
        </w:tc>
        <w:tc>
          <w:tcPr>
            <w:tcW w:type="dxa" w:w="1701"/>
            <w:vAlign w:val="center"/>
          </w:tcPr>
          <w:p>
            <w:pPr>
              <w:keepNext/>
              <w:spacing w:line="240" w:lineRule="auto" w:after="80" w:before="80"/>
              <w:jc w:val="center"/>
            </w:pPr>
            <w:r>
              <w:rPr>
                <w:b w:val="0"/>
                <w:sz w:val="19"/>
              </w:rPr>
              <w:t>0.0918</w:t>
            </w:r>
          </w:p>
        </w:tc>
        <w:tc>
          <w:tcPr>
            <w:tcW w:type="dxa" w:w="1701"/>
            <w:vAlign w:val="center"/>
          </w:tcPr>
          <w:p>
            <w:pPr>
              <w:keepNext/>
              <w:spacing w:line="240" w:lineRule="auto" w:after="80" w:before="80"/>
              <w:jc w:val="center"/>
            </w:pPr>
            <w:r>
              <w:rPr>
                <w:b w:val="0"/>
                <w:sz w:val="19"/>
              </w:rPr>
              <w:t>8.090</w:t>
            </w:r>
          </w:p>
        </w:tc>
        <w:tc>
          <w:tcPr>
            <w:tcW w:type="dxa" w:w="2098"/>
            <w:vAlign w:val="center"/>
          </w:tcPr>
          <w:p>
            <w:pPr>
              <w:keepNext/>
              <w:spacing w:line="240" w:lineRule="auto" w:after="80" w:before="80"/>
              <w:jc w:val="center"/>
            </w:pPr>
            <w:r>
              <w:rPr>
                <w:b w:val="0"/>
                <w:sz w:val="19"/>
              </w:rPr>
              <w:t>56642</w:t>
            </w:r>
          </w:p>
        </w:tc>
      </w:tr>
      <w:tr>
        <w:trPr>
          <w:cantSplit/>
        </w:trPr>
        <w:tc>
          <w:tcPr>
            <w:tcW w:type="dxa" w:w="1247"/>
            <w:vAlign w:val="center"/>
          </w:tcPr>
          <w:p>
            <w:pPr>
              <w:keepNext/>
              <w:spacing w:line="240" w:lineRule="auto" w:after="80" w:before="80"/>
              <w:jc w:val="left"/>
            </w:pPr>
            <w:r>
              <w:rPr>
                <w:b w:val="0"/>
                <w:sz w:val="19"/>
              </w:rPr>
              <w:t>BY2</w:t>
            </w:r>
          </w:p>
        </w:tc>
        <w:tc>
          <w:tcPr>
            <w:tcW w:type="dxa" w:w="2665"/>
            <w:vAlign w:val="center"/>
          </w:tcPr>
          <w:p>
            <w:pPr>
              <w:keepNext/>
              <w:spacing w:line="240" w:lineRule="auto" w:after="80" w:before="80"/>
              <w:jc w:val="center"/>
            </w:pPr>
            <w:r>
              <w:rPr>
                <w:b w:val="0"/>
                <w:sz w:val="19"/>
              </w:rPr>
              <w:t>航向质量控制与接收机速度</w:t>
            </w:r>
          </w:p>
        </w:tc>
        <w:tc>
          <w:tcPr>
            <w:tcW w:type="dxa" w:w="1701"/>
            <w:vAlign w:val="center"/>
          </w:tcPr>
          <w:p>
            <w:pPr>
              <w:keepNext/>
              <w:spacing w:line="240" w:lineRule="auto" w:after="80" w:before="80"/>
              <w:jc w:val="center"/>
            </w:pPr>
            <w:r>
              <w:rPr>
                <w:b w:val="0"/>
                <w:sz w:val="19"/>
              </w:rPr>
              <w:t>0.0999</w:t>
            </w:r>
          </w:p>
        </w:tc>
        <w:tc>
          <w:tcPr>
            <w:tcW w:type="dxa" w:w="1701"/>
            <w:vAlign w:val="center"/>
          </w:tcPr>
          <w:p>
            <w:pPr>
              <w:keepNext/>
              <w:spacing w:line="240" w:lineRule="auto" w:after="80" w:before="80"/>
              <w:jc w:val="center"/>
            </w:pPr>
            <w:r>
              <w:rPr>
                <w:b w:val="0"/>
                <w:sz w:val="19"/>
              </w:rPr>
              <w:t>1.916</w:t>
            </w:r>
          </w:p>
        </w:tc>
        <w:tc>
          <w:tcPr>
            <w:tcW w:type="dxa" w:w="2098"/>
            <w:vAlign w:val="center"/>
          </w:tcPr>
          <w:p>
            <w:pPr>
              <w:keepNext/>
              <w:spacing w:line="240" w:lineRule="auto" w:after="80" w:before="80"/>
              <w:jc w:val="center"/>
            </w:pPr>
            <w:r>
              <w:rPr>
                <w:b w:val="0"/>
                <w:sz w:val="19"/>
              </w:rPr>
              <w:t>56642</w:t>
            </w:r>
          </w:p>
        </w:tc>
      </w:tr>
      <w:tr>
        <w:trPr>
          <w:cantSplit/>
        </w:trPr>
        <w:tc>
          <w:tcPr>
            <w:tcW w:type="dxa" w:w="1247"/>
            <w:vAlign w:val="center"/>
          </w:tcPr>
          <w:p>
            <w:pPr>
              <w:keepNext/>
              <w:spacing w:line="240" w:lineRule="auto" w:after="80" w:before="80"/>
              <w:jc w:val="left"/>
            </w:pPr>
            <w:r>
              <w:rPr>
                <w:b w:val="0"/>
                <w:sz w:val="19"/>
              </w:rPr>
              <w:t>BY2</w:t>
            </w:r>
          </w:p>
        </w:tc>
        <w:tc>
          <w:tcPr>
            <w:tcW w:type="dxa" w:w="2665"/>
            <w:vAlign w:val="center"/>
          </w:tcPr>
          <w:p>
            <w:pPr>
              <w:keepNext/>
              <w:spacing w:line="240" w:lineRule="auto" w:after="80" w:before="80"/>
              <w:jc w:val="center"/>
            </w:pPr>
            <w:r>
              <w:rPr>
                <w:b w:val="0"/>
                <w:sz w:val="19"/>
              </w:rPr>
              <w:t>完整融合</w:t>
            </w:r>
          </w:p>
        </w:tc>
        <w:tc>
          <w:tcPr>
            <w:tcW w:type="dxa" w:w="1701"/>
            <w:vAlign w:val="center"/>
          </w:tcPr>
          <w:p>
            <w:pPr>
              <w:keepNext/>
              <w:spacing w:line="240" w:lineRule="auto" w:after="80" w:before="80"/>
              <w:jc w:val="center"/>
            </w:pPr>
            <w:r>
              <w:rPr>
                <w:b w:val="0"/>
                <w:sz w:val="19"/>
              </w:rPr>
              <w:t>0.0979</w:t>
            </w:r>
          </w:p>
        </w:tc>
        <w:tc>
          <w:tcPr>
            <w:tcW w:type="dxa" w:w="1701"/>
            <w:vAlign w:val="center"/>
          </w:tcPr>
          <w:p>
            <w:pPr>
              <w:keepNext/>
              <w:spacing w:line="240" w:lineRule="auto" w:after="80" w:before="80"/>
              <w:jc w:val="center"/>
            </w:pPr>
            <w:r>
              <w:rPr>
                <w:b w:val="0"/>
                <w:sz w:val="19"/>
              </w:rPr>
              <w:t>1.886</w:t>
            </w:r>
          </w:p>
        </w:tc>
        <w:tc>
          <w:tcPr>
            <w:tcW w:type="dxa" w:w="2098"/>
            <w:vAlign w:val="center"/>
          </w:tcPr>
          <w:p>
            <w:pPr>
              <w:keepNext/>
              <w:spacing w:line="240" w:lineRule="auto" w:after="80" w:before="80"/>
              <w:jc w:val="center"/>
            </w:pPr>
            <w:r>
              <w:rPr>
                <w:b w:val="0"/>
                <w:sz w:val="19"/>
              </w:rPr>
              <w:t>56642</w:t>
            </w:r>
          </w:p>
        </w:tc>
      </w:tr>
      <w:tr>
        <w:trPr>
          <w:cantSplit/>
        </w:trPr>
        <w:tc>
          <w:tcPr>
            <w:tcW w:type="dxa" w:w="1247"/>
            <w:vAlign w:val="center"/>
          </w:tcPr>
          <w:p>
            <w:pPr>
              <w:keepNext/>
              <w:spacing w:line="240" w:lineRule="auto" w:after="80" w:before="80"/>
              <w:jc w:val="left"/>
            </w:pPr>
            <w:r>
              <w:rPr>
                <w:b w:val="0"/>
                <w:sz w:val="19"/>
              </w:rPr>
              <w:t>BY2H</w:t>
            </w:r>
          </w:p>
        </w:tc>
        <w:tc>
          <w:tcPr>
            <w:tcW w:type="dxa" w:w="2665"/>
            <w:vAlign w:val="center"/>
          </w:tcPr>
          <w:p>
            <w:pPr>
              <w:keepNext/>
              <w:spacing w:line="240" w:lineRule="auto" w:after="80" w:before="80"/>
              <w:jc w:val="center"/>
            </w:pPr>
            <w:r>
              <w:rPr>
                <w:b w:val="0"/>
                <w:sz w:val="19"/>
              </w:rPr>
              <w:t>无在线航向更新</w:t>
            </w:r>
          </w:p>
        </w:tc>
        <w:tc>
          <w:tcPr>
            <w:tcW w:type="dxa" w:w="1701"/>
            <w:vAlign w:val="center"/>
          </w:tcPr>
          <w:p>
            <w:pPr>
              <w:keepNext/>
              <w:spacing w:line="240" w:lineRule="auto" w:after="80" w:before="80"/>
              <w:jc w:val="center"/>
            </w:pPr>
            <w:r>
              <w:rPr>
                <w:b w:val="0"/>
                <w:sz w:val="19"/>
              </w:rPr>
              <w:t>0.0629</w:t>
            </w:r>
          </w:p>
        </w:tc>
        <w:tc>
          <w:tcPr>
            <w:tcW w:type="dxa" w:w="1701"/>
            <w:vAlign w:val="center"/>
          </w:tcPr>
          <w:p>
            <w:pPr>
              <w:keepNext/>
              <w:spacing w:line="240" w:lineRule="auto" w:after="80" w:before="80"/>
              <w:jc w:val="center"/>
            </w:pPr>
            <w:r>
              <w:rPr>
                <w:b w:val="0"/>
                <w:sz w:val="19"/>
              </w:rPr>
              <w:t>7.137</w:t>
            </w:r>
          </w:p>
        </w:tc>
        <w:tc>
          <w:tcPr>
            <w:tcW w:type="dxa" w:w="2098"/>
            <w:vAlign w:val="center"/>
          </w:tcPr>
          <w:p>
            <w:pPr>
              <w:keepNext/>
              <w:spacing w:line="240" w:lineRule="auto" w:after="80" w:before="80"/>
              <w:jc w:val="center"/>
            </w:pPr>
            <w:r>
              <w:rPr>
                <w:b w:val="0"/>
                <w:sz w:val="19"/>
              </w:rPr>
              <w:t>58580</w:t>
            </w:r>
          </w:p>
        </w:tc>
      </w:tr>
      <w:tr>
        <w:trPr>
          <w:cantSplit/>
        </w:trPr>
        <w:tc>
          <w:tcPr>
            <w:tcW w:type="dxa" w:w="1247"/>
            <w:vAlign w:val="center"/>
          </w:tcPr>
          <w:p>
            <w:pPr>
              <w:keepNext/>
              <w:spacing w:line="240" w:lineRule="auto" w:after="80" w:before="80"/>
              <w:jc w:val="left"/>
            </w:pPr>
            <w:r>
              <w:rPr>
                <w:b w:val="0"/>
                <w:sz w:val="19"/>
              </w:rPr>
              <w:t>BY2H</w:t>
            </w:r>
          </w:p>
        </w:tc>
        <w:tc>
          <w:tcPr>
            <w:tcW w:type="dxa" w:w="2665"/>
            <w:vAlign w:val="center"/>
          </w:tcPr>
          <w:p>
            <w:pPr>
              <w:keepNext/>
              <w:spacing w:line="240" w:lineRule="auto" w:after="80" w:before="80"/>
              <w:jc w:val="center"/>
            </w:pPr>
            <w:r>
              <w:rPr>
                <w:b w:val="0"/>
                <w:sz w:val="19"/>
              </w:rPr>
              <w:t>航向质量控制与接收机速度</w:t>
            </w:r>
          </w:p>
        </w:tc>
        <w:tc>
          <w:tcPr>
            <w:tcW w:type="dxa" w:w="1701"/>
            <w:vAlign w:val="center"/>
          </w:tcPr>
          <w:p>
            <w:pPr>
              <w:keepNext/>
              <w:spacing w:line="240" w:lineRule="auto" w:after="80" w:before="80"/>
              <w:jc w:val="center"/>
            </w:pPr>
            <w:r>
              <w:rPr>
                <w:b w:val="0"/>
                <w:sz w:val="19"/>
              </w:rPr>
              <w:t>0.0687</w:t>
            </w:r>
          </w:p>
        </w:tc>
        <w:tc>
          <w:tcPr>
            <w:tcW w:type="dxa" w:w="1701"/>
            <w:vAlign w:val="center"/>
          </w:tcPr>
          <w:p>
            <w:pPr>
              <w:keepNext/>
              <w:spacing w:line="240" w:lineRule="auto" w:after="80" w:before="80"/>
              <w:jc w:val="center"/>
            </w:pPr>
            <w:r>
              <w:rPr>
                <w:b w:val="0"/>
                <w:sz w:val="19"/>
              </w:rPr>
              <w:t>1.941</w:t>
            </w:r>
          </w:p>
        </w:tc>
        <w:tc>
          <w:tcPr>
            <w:tcW w:type="dxa" w:w="2098"/>
            <w:vAlign w:val="center"/>
          </w:tcPr>
          <w:p>
            <w:pPr>
              <w:keepNext/>
              <w:spacing w:line="240" w:lineRule="auto" w:after="80" w:before="80"/>
              <w:jc w:val="center"/>
            </w:pPr>
            <w:r>
              <w:rPr>
                <w:b w:val="0"/>
                <w:sz w:val="19"/>
              </w:rPr>
              <w:t>58580</w:t>
            </w:r>
          </w:p>
        </w:tc>
      </w:tr>
      <w:tr>
        <w:trPr>
          <w:cantSplit/>
        </w:trPr>
        <w:tc>
          <w:tcPr>
            <w:tcW w:type="dxa" w:w="1247"/>
            <w:vAlign w:val="center"/>
          </w:tcPr>
          <w:p>
            <w:pPr>
              <w:keepNext/>
              <w:spacing w:line="240" w:lineRule="auto" w:after="80" w:before="80"/>
              <w:jc w:val="left"/>
            </w:pPr>
            <w:r>
              <w:rPr>
                <w:b w:val="0"/>
                <w:sz w:val="19"/>
              </w:rPr>
              <w:t>BY2H</w:t>
            </w:r>
          </w:p>
        </w:tc>
        <w:tc>
          <w:tcPr>
            <w:tcW w:type="dxa" w:w="2665"/>
            <w:vAlign w:val="center"/>
          </w:tcPr>
          <w:p>
            <w:pPr>
              <w:keepNext/>
              <w:spacing w:line="240" w:lineRule="auto" w:after="80" w:before="80"/>
              <w:jc w:val="center"/>
            </w:pPr>
            <w:r>
              <w:rPr>
                <w:b w:val="0"/>
                <w:sz w:val="19"/>
              </w:rPr>
              <w:t>完整融合</w:t>
            </w:r>
          </w:p>
        </w:tc>
        <w:tc>
          <w:tcPr>
            <w:tcW w:type="dxa" w:w="1701"/>
            <w:vAlign w:val="center"/>
          </w:tcPr>
          <w:p>
            <w:pPr>
              <w:keepNext/>
              <w:spacing w:line="240" w:lineRule="auto" w:after="80" w:before="80"/>
              <w:jc w:val="center"/>
            </w:pPr>
            <w:r>
              <w:rPr>
                <w:b w:val="0"/>
                <w:sz w:val="19"/>
              </w:rPr>
              <w:t>0.0684</w:t>
            </w:r>
          </w:p>
        </w:tc>
        <w:tc>
          <w:tcPr>
            <w:tcW w:type="dxa" w:w="1701"/>
            <w:vAlign w:val="center"/>
          </w:tcPr>
          <w:p>
            <w:pPr>
              <w:keepNext/>
              <w:spacing w:line="240" w:lineRule="auto" w:after="80" w:before="80"/>
              <w:jc w:val="center"/>
            </w:pPr>
            <w:r>
              <w:rPr>
                <w:b w:val="0"/>
                <w:sz w:val="19"/>
              </w:rPr>
              <w:t>1.934</w:t>
            </w:r>
          </w:p>
        </w:tc>
        <w:tc>
          <w:tcPr>
            <w:tcW w:type="dxa" w:w="2098"/>
            <w:vAlign w:val="center"/>
          </w:tcPr>
          <w:p>
            <w:pPr>
              <w:keepNext/>
              <w:spacing w:line="240" w:lineRule="auto" w:after="80" w:before="80"/>
              <w:jc w:val="center"/>
            </w:pPr>
            <w:r>
              <w:rPr>
                <w:b w:val="0"/>
                <w:sz w:val="19"/>
              </w:rPr>
              <w:t>58580</w:t>
            </w:r>
          </w:p>
        </w:tc>
      </w:tr>
      <w:tr>
        <w:trPr>
          <w:cantSplit/>
        </w:trPr>
        <w:tc>
          <w:tcPr>
            <w:tcW w:type="dxa" w:w="1247"/>
            <w:vAlign w:val="center"/>
          </w:tcPr>
          <w:p>
            <w:pPr>
              <w:keepNext/>
              <w:spacing w:line="240" w:lineRule="auto" w:after="80" w:before="80"/>
              <w:jc w:val="left"/>
            </w:pPr>
            <w:r>
              <w:rPr>
                <w:b w:val="0"/>
                <w:sz w:val="19"/>
              </w:rPr>
              <w:t>BY2O</w:t>
            </w:r>
          </w:p>
        </w:tc>
        <w:tc>
          <w:tcPr>
            <w:tcW w:type="dxa" w:w="2665"/>
            <w:vAlign w:val="center"/>
          </w:tcPr>
          <w:p>
            <w:pPr>
              <w:keepNext/>
              <w:spacing w:line="240" w:lineRule="auto" w:after="80" w:before="80"/>
              <w:jc w:val="center"/>
            </w:pPr>
            <w:r>
              <w:rPr>
                <w:b w:val="0"/>
                <w:sz w:val="19"/>
              </w:rPr>
              <w:t>无在线航向更新</w:t>
            </w:r>
          </w:p>
        </w:tc>
        <w:tc>
          <w:tcPr>
            <w:tcW w:type="dxa" w:w="1701"/>
            <w:vAlign w:val="center"/>
          </w:tcPr>
          <w:p>
            <w:pPr>
              <w:keepNext/>
              <w:spacing w:line="240" w:lineRule="auto" w:after="80" w:before="80"/>
              <w:jc w:val="center"/>
            </w:pPr>
            <w:r>
              <w:rPr>
                <w:b w:val="0"/>
                <w:sz w:val="19"/>
              </w:rPr>
              <w:t>0.0628</w:t>
            </w:r>
          </w:p>
        </w:tc>
        <w:tc>
          <w:tcPr>
            <w:tcW w:type="dxa" w:w="1701"/>
            <w:vAlign w:val="center"/>
          </w:tcPr>
          <w:p>
            <w:pPr>
              <w:keepNext/>
              <w:spacing w:line="240" w:lineRule="auto" w:after="80" w:before="80"/>
              <w:jc w:val="center"/>
            </w:pPr>
            <w:r>
              <w:rPr>
                <w:b w:val="0"/>
                <w:sz w:val="19"/>
              </w:rPr>
              <w:t>5.739</w:t>
            </w:r>
          </w:p>
        </w:tc>
        <w:tc>
          <w:tcPr>
            <w:tcW w:type="dxa" w:w="2098"/>
            <w:vAlign w:val="center"/>
          </w:tcPr>
          <w:p>
            <w:pPr>
              <w:keepNext/>
              <w:spacing w:line="240" w:lineRule="auto" w:after="80" w:before="80"/>
              <w:jc w:val="center"/>
            </w:pPr>
            <w:r>
              <w:rPr>
                <w:b w:val="0"/>
                <w:sz w:val="19"/>
              </w:rPr>
              <w:t>76548</w:t>
            </w:r>
          </w:p>
        </w:tc>
      </w:tr>
      <w:tr>
        <w:trPr>
          <w:cantSplit/>
        </w:trPr>
        <w:tc>
          <w:tcPr>
            <w:tcW w:type="dxa" w:w="1247"/>
            <w:vAlign w:val="center"/>
          </w:tcPr>
          <w:p>
            <w:pPr>
              <w:keepNext/>
              <w:spacing w:line="240" w:lineRule="auto" w:after="80" w:before="80"/>
              <w:jc w:val="left"/>
            </w:pPr>
            <w:r>
              <w:rPr>
                <w:b w:val="0"/>
                <w:sz w:val="19"/>
              </w:rPr>
              <w:t>BY2O</w:t>
            </w:r>
          </w:p>
        </w:tc>
        <w:tc>
          <w:tcPr>
            <w:tcW w:type="dxa" w:w="2665"/>
            <w:vAlign w:val="center"/>
          </w:tcPr>
          <w:p>
            <w:pPr>
              <w:keepNext/>
              <w:spacing w:line="240" w:lineRule="auto" w:after="80" w:before="80"/>
              <w:jc w:val="center"/>
            </w:pPr>
            <w:r>
              <w:rPr>
                <w:b w:val="0"/>
                <w:sz w:val="19"/>
              </w:rPr>
              <w:t>航向质量控制与接收机速度</w:t>
            </w:r>
          </w:p>
        </w:tc>
        <w:tc>
          <w:tcPr>
            <w:tcW w:type="dxa" w:w="1701"/>
            <w:vAlign w:val="center"/>
          </w:tcPr>
          <w:p>
            <w:pPr>
              <w:keepNext/>
              <w:spacing w:line="240" w:lineRule="auto" w:after="80" w:before="80"/>
              <w:jc w:val="center"/>
            </w:pPr>
            <w:r>
              <w:rPr>
                <w:b w:val="0"/>
                <w:sz w:val="19"/>
              </w:rPr>
              <w:t>0.0547</w:t>
            </w:r>
          </w:p>
        </w:tc>
        <w:tc>
          <w:tcPr>
            <w:tcW w:type="dxa" w:w="1701"/>
            <w:vAlign w:val="center"/>
          </w:tcPr>
          <w:p>
            <w:pPr>
              <w:keepNext/>
              <w:spacing w:line="240" w:lineRule="auto" w:after="80" w:before="80"/>
              <w:jc w:val="center"/>
            </w:pPr>
            <w:r>
              <w:rPr>
                <w:b w:val="0"/>
                <w:sz w:val="19"/>
              </w:rPr>
              <w:t>2.432</w:t>
            </w:r>
          </w:p>
        </w:tc>
        <w:tc>
          <w:tcPr>
            <w:tcW w:type="dxa" w:w="2098"/>
            <w:vAlign w:val="center"/>
          </w:tcPr>
          <w:p>
            <w:pPr>
              <w:keepNext/>
              <w:spacing w:line="240" w:lineRule="auto" w:after="80" w:before="80"/>
              <w:jc w:val="center"/>
            </w:pPr>
            <w:r>
              <w:rPr>
                <w:b w:val="0"/>
                <w:sz w:val="19"/>
              </w:rPr>
              <w:t>76548</w:t>
            </w:r>
          </w:p>
        </w:tc>
      </w:tr>
      <w:tr>
        <w:trPr>
          <w:cantSplit/>
        </w:trPr>
        <w:tc>
          <w:tcPr>
            <w:tcW w:type="dxa" w:w="1247"/>
            <w:vAlign w:val="center"/>
          </w:tcPr>
          <w:p>
            <w:pPr>
              <w:keepNext w:val="0"/>
              <w:spacing w:line="240" w:lineRule="auto" w:after="80" w:before="80"/>
              <w:jc w:val="left"/>
            </w:pPr>
            <w:r>
              <w:rPr>
                <w:b w:val="0"/>
                <w:sz w:val="19"/>
              </w:rPr>
              <w:t>BY2O</w:t>
            </w:r>
          </w:p>
        </w:tc>
        <w:tc>
          <w:tcPr>
            <w:tcW w:type="dxa" w:w="2665"/>
            <w:vAlign w:val="center"/>
          </w:tcPr>
          <w:p>
            <w:pPr>
              <w:keepNext w:val="0"/>
              <w:spacing w:line="240" w:lineRule="auto" w:after="80" w:before="80"/>
              <w:jc w:val="center"/>
            </w:pPr>
            <w:r>
              <w:rPr>
                <w:b w:val="0"/>
                <w:sz w:val="19"/>
              </w:rPr>
              <w:t>完整融合</w:t>
            </w:r>
          </w:p>
        </w:tc>
        <w:tc>
          <w:tcPr>
            <w:tcW w:type="dxa" w:w="1701"/>
            <w:vAlign w:val="center"/>
          </w:tcPr>
          <w:p>
            <w:pPr>
              <w:keepNext w:val="0"/>
              <w:spacing w:line="240" w:lineRule="auto" w:after="80" w:before="80"/>
              <w:jc w:val="center"/>
            </w:pPr>
            <w:r>
              <w:rPr>
                <w:b w:val="0"/>
                <w:sz w:val="19"/>
              </w:rPr>
              <w:t>0.0545</w:t>
            </w:r>
          </w:p>
        </w:tc>
        <w:tc>
          <w:tcPr>
            <w:tcW w:type="dxa" w:w="1701"/>
            <w:vAlign w:val="center"/>
          </w:tcPr>
          <w:p>
            <w:pPr>
              <w:keepNext w:val="0"/>
              <w:spacing w:line="240" w:lineRule="auto" w:after="80" w:before="80"/>
              <w:jc w:val="center"/>
            </w:pPr>
            <w:r>
              <w:rPr>
                <w:b w:val="0"/>
                <w:sz w:val="19"/>
              </w:rPr>
              <w:t>2.434</w:t>
            </w:r>
          </w:p>
        </w:tc>
        <w:tc>
          <w:tcPr>
            <w:tcW w:type="dxa" w:w="2098"/>
            <w:vAlign w:val="center"/>
          </w:tcPr>
          <w:p>
            <w:pPr>
              <w:keepNext w:val="0"/>
              <w:spacing w:line="240" w:lineRule="auto" w:after="80" w:before="80"/>
              <w:jc w:val="center"/>
            </w:pPr>
            <w:r>
              <w:rPr>
                <w:b w:val="0"/>
                <w:sz w:val="19"/>
              </w:rPr>
              <w:t>76548</w:t>
            </w:r>
          </w:p>
        </w:tc>
      </w:tr>
    </w:tbl>
    <w:p>
      <w:pPr>
        <w:widowControl/>
      </w:pPr>
      <w:r>
        <w:t>完整融合的水平RMSE为0.0979、0.0684和0.0545 m，垂直RMSE分别为0.0490、0.0454和0.0459 m。相对航向质量控制基线，附加观测带来的自然序列航向变化较小，BY2O还出现轻微增加。航向质量控制与接收机速度配置已达到接近完整融合的航向精度，其他信息的作用进一步通过状态分量和扰动条件分析。</w:t>
      </w:r>
    </w:p>
    <w:p>
      <w:pPr>
        <w:widowControl/>
      </w:pPr>
      <w:r>
        <w:t>双接收机IEKF的文献参数配置得到约2.995°、2.209°和2.454°航向RMSE，对应水平RMSE为0.0975、0.0746和0.0543 m。本文方法在部分航向指标上较低，但位置指标并非全面优于该配置。BY2与BY2H的成对航向区间包含零，项目参数IEKF又改变了排序，包括更低的BY2航向RMSE。这些结果支持将比较重点进一步放在可解释的观测贡献与故障条件上。</w:t>
      </w:r>
    </w:p>
    <w:p>
      <w:pPr>
        <w:pStyle w:val="Heading2"/>
      </w:pPr>
      <w:r>
        <w:t>4.2 受控扰动下的完成率</w:t>
      </w:r>
    </w:p>
    <w:p>
      <w:pPr>
        <w:widowControl/>
      </w:pPr>
      <w:r>
        <w:t>6468次运行中，6185次完成、193次发散、90次因初始航向不可用而停止；失败均发生在541案例的主扰动集中。表3给出完整融合、四种直接消融及航向质量控制基线的结果。</w:t>
      </w:r>
    </w:p>
    <w:p>
      <w:pPr>
        <w:keepNext/>
        <w:widowControl/>
      </w:pPr>
      <w:r>
        <w:rPr>
          <w:b/>
        </w:rPr>
        <w:t>表3 每种配置在541案例中的运行结果</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53"/>
        <w:gridCol w:w="2353"/>
        <w:gridCol w:w="2353"/>
        <w:gridCol w:w="2353"/>
      </w:tblGrid>
      <w:tr>
        <w:trPr>
          <w:cantSplit/>
          <w:tblHeader/>
        </w:trPr>
        <w:tc>
          <w:tcPr>
            <w:tcW w:type="dxa" w:w="4649"/>
            <w:vAlign w:val="center"/>
            <w:shd w:fill="E5E7EB"/>
          </w:tcPr>
          <w:p>
            <w:pPr>
              <w:keepNext/>
              <w:spacing w:line="240" w:lineRule="auto" w:after="80" w:before="80"/>
              <w:jc w:val="left"/>
            </w:pPr>
            <w:r>
              <w:rPr>
                <w:b/>
                <w:sz w:val="19"/>
              </w:rPr>
              <w:t>配置</w:t>
            </w:r>
          </w:p>
        </w:tc>
        <w:tc>
          <w:tcPr>
            <w:tcW w:type="dxa" w:w="1587"/>
            <w:vAlign w:val="center"/>
            <w:shd w:fill="E5E7EB"/>
          </w:tcPr>
          <w:p>
            <w:pPr>
              <w:keepNext/>
              <w:spacing w:line="240" w:lineRule="auto" w:after="80" w:before="80"/>
              <w:jc w:val="center"/>
            </w:pPr>
            <w:r>
              <w:rPr>
                <w:b/>
                <w:sz w:val="19"/>
              </w:rPr>
              <w:t>完成</w:t>
            </w:r>
          </w:p>
        </w:tc>
        <w:tc>
          <w:tcPr>
            <w:tcW w:type="dxa" w:w="1587"/>
            <w:vAlign w:val="center"/>
            <w:shd w:fill="E5E7EB"/>
          </w:tcPr>
          <w:p>
            <w:pPr>
              <w:keepNext/>
              <w:spacing w:line="240" w:lineRule="auto" w:after="80" w:before="80"/>
              <w:jc w:val="center"/>
            </w:pPr>
            <w:r>
              <w:rPr>
                <w:b/>
                <w:sz w:val="19"/>
              </w:rPr>
              <w:t>发散</w:t>
            </w:r>
          </w:p>
        </w:tc>
        <w:tc>
          <w:tcPr>
            <w:tcW w:type="dxa" w:w="1587"/>
            <w:vAlign w:val="center"/>
            <w:shd w:fill="E5E7EB"/>
          </w:tcPr>
          <w:p>
            <w:pPr>
              <w:keepNext/>
              <w:spacing w:line="240" w:lineRule="auto" w:after="80" w:before="80"/>
              <w:jc w:val="center"/>
            </w:pPr>
            <w:r>
              <w:rPr>
                <w:b/>
                <w:sz w:val="19"/>
              </w:rPr>
              <w:t>初始航向不可用</w:t>
            </w:r>
          </w:p>
        </w:tc>
      </w:tr>
      <w:tr>
        <w:trPr>
          <w:cantSplit/>
        </w:trPr>
        <w:tc>
          <w:tcPr>
            <w:tcW w:type="dxa" w:w="4649"/>
            <w:vAlign w:val="center"/>
          </w:tcPr>
          <w:p>
            <w:pPr>
              <w:keepNext/>
              <w:spacing w:line="240" w:lineRule="auto" w:after="80" w:before="80"/>
              <w:jc w:val="left"/>
            </w:pPr>
            <w:r>
              <w:rPr>
                <w:b w:val="0"/>
                <w:sz w:val="19"/>
              </w:rPr>
              <w:t>航向质量控制与接收机速度</w:t>
            </w:r>
          </w:p>
        </w:tc>
        <w:tc>
          <w:tcPr>
            <w:tcW w:type="dxa" w:w="1587"/>
            <w:vAlign w:val="center"/>
          </w:tcPr>
          <w:p>
            <w:pPr>
              <w:keepNext/>
              <w:spacing w:line="240" w:lineRule="auto" w:after="80" w:before="80"/>
              <w:jc w:val="center"/>
            </w:pPr>
            <w:r>
              <w:rPr>
                <w:b w:val="0"/>
                <w:sz w:val="19"/>
              </w:rPr>
              <w:t>512</w:t>
            </w:r>
          </w:p>
        </w:tc>
        <w:tc>
          <w:tcPr>
            <w:tcW w:type="dxa" w:w="1587"/>
            <w:vAlign w:val="center"/>
          </w:tcPr>
          <w:p>
            <w:pPr>
              <w:keepNext/>
              <w:spacing w:line="240" w:lineRule="auto" w:after="80" w:before="80"/>
              <w:jc w:val="center"/>
            </w:pPr>
            <w:r>
              <w:rPr>
                <w:b w:val="0"/>
                <w:sz w:val="19"/>
              </w:rPr>
              <w:t>20</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完整融合</w:t>
            </w:r>
          </w:p>
        </w:tc>
        <w:tc>
          <w:tcPr>
            <w:tcW w:type="dxa" w:w="1587"/>
            <w:vAlign w:val="center"/>
          </w:tcPr>
          <w:p>
            <w:pPr>
              <w:keepNext/>
              <w:spacing w:line="240" w:lineRule="auto" w:after="80" w:before="80"/>
              <w:jc w:val="center"/>
            </w:pPr>
            <w:r>
              <w:rPr>
                <w:b w:val="0"/>
                <w:sz w:val="19"/>
              </w:rPr>
              <w:t>519</w:t>
            </w:r>
          </w:p>
        </w:tc>
        <w:tc>
          <w:tcPr>
            <w:tcW w:type="dxa" w:w="1587"/>
            <w:vAlign w:val="center"/>
          </w:tcPr>
          <w:p>
            <w:pPr>
              <w:keepNext/>
              <w:spacing w:line="240" w:lineRule="auto" w:after="80" w:before="80"/>
              <w:jc w:val="center"/>
            </w:pPr>
            <w:r>
              <w:rPr>
                <w:b w:val="0"/>
                <w:sz w:val="19"/>
              </w:rPr>
              <w:t>13</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移除多普勒速度辅助</w:t>
            </w:r>
          </w:p>
        </w:tc>
        <w:tc>
          <w:tcPr>
            <w:tcW w:type="dxa" w:w="1587"/>
            <w:vAlign w:val="center"/>
          </w:tcPr>
          <w:p>
            <w:pPr>
              <w:keepNext/>
              <w:spacing w:line="240" w:lineRule="auto" w:after="80" w:before="80"/>
              <w:jc w:val="center"/>
            </w:pPr>
            <w:r>
              <w:rPr>
                <w:b w:val="0"/>
                <w:sz w:val="19"/>
              </w:rPr>
              <w:t>518</w:t>
            </w:r>
          </w:p>
        </w:tc>
        <w:tc>
          <w:tcPr>
            <w:tcW w:type="dxa" w:w="1587"/>
            <w:vAlign w:val="center"/>
          </w:tcPr>
          <w:p>
            <w:pPr>
              <w:keepNext/>
              <w:spacing w:line="240" w:lineRule="auto" w:after="80" w:before="80"/>
              <w:jc w:val="center"/>
            </w:pPr>
            <w:r>
              <w:rPr>
                <w:b w:val="0"/>
                <w:sz w:val="19"/>
              </w:rPr>
              <w:t>14</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移除协方差膨胀</w:t>
            </w:r>
          </w:p>
        </w:tc>
        <w:tc>
          <w:tcPr>
            <w:tcW w:type="dxa" w:w="1587"/>
            <w:vAlign w:val="center"/>
          </w:tcPr>
          <w:p>
            <w:pPr>
              <w:keepNext/>
              <w:spacing w:line="240" w:lineRule="auto" w:after="80" w:before="80"/>
              <w:jc w:val="center"/>
            </w:pPr>
            <w:r>
              <w:rPr>
                <w:b w:val="0"/>
                <w:sz w:val="19"/>
              </w:rPr>
              <w:t>513</w:t>
            </w:r>
          </w:p>
        </w:tc>
        <w:tc>
          <w:tcPr>
            <w:tcW w:type="dxa" w:w="1587"/>
            <w:vAlign w:val="center"/>
          </w:tcPr>
          <w:p>
            <w:pPr>
              <w:keepNext/>
              <w:spacing w:line="240" w:lineRule="auto" w:after="80" w:before="80"/>
              <w:jc w:val="center"/>
            </w:pPr>
            <w:r>
              <w:rPr>
                <w:b w:val="0"/>
                <w:sz w:val="19"/>
              </w:rPr>
              <w:t>19</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移除机身倾角</w:t>
            </w:r>
          </w:p>
        </w:tc>
        <w:tc>
          <w:tcPr>
            <w:tcW w:type="dxa" w:w="1587"/>
            <w:vAlign w:val="center"/>
          </w:tcPr>
          <w:p>
            <w:pPr>
              <w:keepNext/>
              <w:spacing w:line="240" w:lineRule="auto" w:after="80" w:before="80"/>
              <w:jc w:val="center"/>
            </w:pPr>
            <w:r>
              <w:rPr>
                <w:b w:val="0"/>
                <w:sz w:val="19"/>
              </w:rPr>
              <w:t>519</w:t>
            </w:r>
          </w:p>
        </w:tc>
        <w:tc>
          <w:tcPr>
            <w:tcW w:type="dxa" w:w="1587"/>
            <w:vAlign w:val="center"/>
          </w:tcPr>
          <w:p>
            <w:pPr>
              <w:keepNext/>
              <w:spacing w:line="240" w:lineRule="auto" w:after="80" w:before="80"/>
              <w:jc w:val="center"/>
            </w:pPr>
            <w:r>
              <w:rPr>
                <w:b w:val="0"/>
                <w:sz w:val="19"/>
              </w:rPr>
              <w:t>13</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val="0"/>
              <w:spacing w:line="240" w:lineRule="auto" w:after="80" w:before="80"/>
              <w:jc w:val="left"/>
            </w:pPr>
            <w:r>
              <w:rPr>
                <w:b w:val="0"/>
                <w:sz w:val="19"/>
              </w:rPr>
              <w:t>移除机身水平速度</w:t>
            </w:r>
          </w:p>
        </w:tc>
        <w:tc>
          <w:tcPr>
            <w:tcW w:type="dxa" w:w="1587"/>
            <w:vAlign w:val="center"/>
          </w:tcPr>
          <w:p>
            <w:pPr>
              <w:keepNext w:val="0"/>
              <w:spacing w:line="240" w:lineRule="auto" w:after="80" w:before="80"/>
              <w:jc w:val="center"/>
            </w:pPr>
            <w:r>
              <w:rPr>
                <w:b w:val="0"/>
                <w:sz w:val="19"/>
              </w:rPr>
              <w:t>519</w:t>
            </w:r>
          </w:p>
        </w:tc>
        <w:tc>
          <w:tcPr>
            <w:tcW w:type="dxa" w:w="1587"/>
            <w:vAlign w:val="center"/>
          </w:tcPr>
          <w:p>
            <w:pPr>
              <w:keepNext w:val="0"/>
              <w:spacing w:line="240" w:lineRule="auto" w:after="80" w:before="80"/>
              <w:jc w:val="center"/>
            </w:pPr>
            <w:r>
              <w:rPr>
                <w:b w:val="0"/>
                <w:sz w:val="19"/>
              </w:rPr>
              <w:t>13</w:t>
            </w:r>
          </w:p>
        </w:tc>
        <w:tc>
          <w:tcPr>
            <w:tcW w:type="dxa" w:w="1587"/>
            <w:vAlign w:val="center"/>
          </w:tcPr>
          <w:p>
            <w:pPr>
              <w:keepNext w:val="0"/>
              <w:spacing w:line="240" w:lineRule="auto" w:after="80" w:before="80"/>
              <w:jc w:val="center"/>
            </w:pPr>
            <w:r>
              <w:rPr>
                <w:b w:val="0"/>
                <w:sz w:val="19"/>
              </w:rPr>
              <w:t>9</w:t>
            </w:r>
          </w:p>
        </w:tc>
      </w:tr>
    </w:tbl>
    <w:p>
      <w:pPr>
        <w:widowControl/>
      </w:pPr>
      <w:r>
        <w:t>协方差膨胀使完成数由513增加到519，其中六个案例仅在完整融合中完成，没有相反的单侧案例。多普勒辅助增加一个完成案例。两类机身观测对完成数的影响较小，分别移除后仍完成519例。无在线航向基线完成521例，但其自然序列航向误差较大，说明完成率与状态精度需要共同衡量。</w:t>
      </w:r>
    </w:p>
    <w:p>
      <w:pPr>
        <w:pStyle w:val="Heading2"/>
      </w:pPr>
      <w:r>
        <w:t>4.3 各项辅助观测的效果量</w:t>
      </w:r>
    </w:p>
    <w:p>
      <w:pPr>
        <w:widowControl/>
      </w:pPr>
      <w:r>
        <w:t>机身倾角对其直接约束的横滚和俯仰表现出最稳定的改善。在519个共同完成案例中，两项RMSE均下降，中位降幅分别为1.072°和0.664°，平均降幅分别为1.790°和1.027°。该结果表明，接口倾角为其余观测较弱约束的姿态分量补充了有效信息。</w:t>
      </w:r>
    </w:p>
    <w:p>
      <w:pPr>
        <w:keepNext/>
        <w:widowControl/>
      </w:pPr>
      <w:r>
        <w:rPr>
          <w:b/>
        </w:rPr>
        <w:t>表4 启用各项辅助后的成对RMSE变化</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3572"/>
            <w:vAlign w:val="center"/>
            <w:shd w:fill="E5E7EB"/>
          </w:tcPr>
          <w:p>
            <w:pPr>
              <w:keepNext/>
              <w:spacing w:line="240" w:lineRule="auto" w:after="80" w:before="80"/>
              <w:jc w:val="left"/>
            </w:pPr>
            <w:r>
              <w:rPr>
                <w:b/>
                <w:sz w:val="19"/>
              </w:rPr>
              <w:t>辅助观测与指标</w:t>
            </w:r>
          </w:p>
        </w:tc>
        <w:tc>
          <w:tcPr>
            <w:tcW w:type="dxa" w:w="907"/>
            <w:vAlign w:val="center"/>
            <w:shd w:fill="E5E7EB"/>
          </w:tcPr>
          <w:p>
            <w:pPr>
              <w:keepNext/>
              <w:spacing w:line="240" w:lineRule="auto" w:after="80" w:before="80"/>
              <w:jc w:val="center"/>
            </w:pPr>
            <w:r>
              <w:rPr>
                <w:b/>
                <w:sz w:val="19"/>
              </w:rPr>
              <w:t>配对数</w:t>
            </w:r>
          </w:p>
        </w:tc>
        <w:tc>
          <w:tcPr>
            <w:tcW w:type="dxa" w:w="1701"/>
            <w:vAlign w:val="center"/>
            <w:shd w:fill="E5E7EB"/>
          </w:tcPr>
          <w:p>
            <w:pPr>
              <w:keepNext/>
              <w:spacing w:line="240" w:lineRule="auto" w:after="80" w:before="80"/>
              <w:jc w:val="center"/>
            </w:pPr>
            <w:r>
              <w:rPr>
                <w:b/>
                <w:sz w:val="19"/>
              </w:rPr>
              <w:t>中位变化</w:t>
            </w:r>
          </w:p>
        </w:tc>
        <w:tc>
          <w:tcPr>
            <w:tcW w:type="dxa" w:w="1701"/>
            <w:vAlign w:val="center"/>
            <w:shd w:fill="E5E7EB"/>
          </w:tcPr>
          <w:p>
            <w:pPr>
              <w:keepNext/>
              <w:spacing w:line="240" w:lineRule="auto" w:after="80" w:before="80"/>
              <w:jc w:val="center"/>
            </w:pPr>
            <w:r>
              <w:rPr>
                <w:b/>
                <w:sz w:val="19"/>
              </w:rPr>
              <w:t>平均变化</w:t>
            </w:r>
          </w:p>
        </w:tc>
        <w:tc>
          <w:tcPr>
            <w:tcW w:type="dxa" w:w="1531"/>
            <w:vAlign w:val="center"/>
            <w:shd w:fill="E5E7EB"/>
          </w:tcPr>
          <w:p>
            <w:pPr>
              <w:keepNext/>
              <w:spacing w:line="240" w:lineRule="auto" w:after="80" w:before="80"/>
              <w:jc w:val="center"/>
            </w:pPr>
            <w:r>
              <w:rPr>
                <w:b/>
                <w:sz w:val="19"/>
              </w:rPr>
              <w:t>误差降低数</w:t>
            </w:r>
          </w:p>
        </w:tc>
      </w:tr>
      <w:tr>
        <w:trPr>
          <w:cantSplit/>
        </w:trPr>
        <w:tc>
          <w:tcPr>
            <w:tcW w:type="dxa" w:w="3572"/>
            <w:vAlign w:val="center"/>
          </w:tcPr>
          <w:p>
            <w:pPr>
              <w:keepNext/>
              <w:spacing w:line="240" w:lineRule="auto" w:after="80" w:before="80"/>
              <w:jc w:val="left"/>
            </w:pPr>
            <w:r>
              <w:rPr>
                <w:b w:val="0"/>
                <w:sz w:val="19"/>
              </w:rPr>
              <w:t>多普勒：水平位置（mm）</w:t>
            </w:r>
          </w:p>
        </w:tc>
        <w:tc>
          <w:tcPr>
            <w:tcW w:type="dxa" w:w="907"/>
            <w:vAlign w:val="center"/>
          </w:tcPr>
          <w:p>
            <w:pPr>
              <w:keepNext/>
              <w:spacing w:line="240" w:lineRule="auto" w:after="80" w:before="80"/>
              <w:jc w:val="center"/>
            </w:pPr>
            <w:r>
              <w:rPr>
                <w:b w:val="0"/>
                <w:sz w:val="19"/>
              </w:rPr>
              <w:t>518</w:t>
            </w:r>
          </w:p>
        </w:tc>
        <w:tc>
          <w:tcPr>
            <w:tcW w:type="dxa" w:w="1701"/>
            <w:vAlign w:val="center"/>
          </w:tcPr>
          <w:p>
            <w:pPr>
              <w:keepNext/>
              <w:spacing w:line="240" w:lineRule="auto" w:after="80" w:before="80"/>
              <w:jc w:val="center"/>
            </w:pPr>
            <w:r>
              <w:rPr>
                <w:b w:val="0"/>
                <w:sz w:val="19"/>
              </w:rPr>
              <w:t>-0.14538</w:t>
            </w:r>
          </w:p>
        </w:tc>
        <w:tc>
          <w:tcPr>
            <w:tcW w:type="dxa" w:w="1701"/>
            <w:vAlign w:val="center"/>
          </w:tcPr>
          <w:p>
            <w:pPr>
              <w:keepNext/>
              <w:spacing w:line="240" w:lineRule="auto" w:after="80" w:before="80"/>
              <w:jc w:val="center"/>
            </w:pPr>
            <w:r>
              <w:rPr>
                <w:b w:val="0"/>
                <w:sz w:val="19"/>
              </w:rPr>
              <w:t>-1.549</w:t>
            </w:r>
          </w:p>
        </w:tc>
        <w:tc>
          <w:tcPr>
            <w:tcW w:type="dxa" w:w="1531"/>
            <w:vAlign w:val="center"/>
          </w:tcPr>
          <w:p>
            <w:pPr>
              <w:keepNext/>
              <w:spacing w:line="240" w:lineRule="auto" w:after="80" w:before="80"/>
              <w:jc w:val="center"/>
            </w:pPr>
            <w:r>
              <w:rPr>
                <w:b w:val="0"/>
                <w:sz w:val="19"/>
              </w:rPr>
              <w:t>453/518</w:t>
            </w:r>
          </w:p>
        </w:tc>
      </w:tr>
      <w:tr>
        <w:trPr>
          <w:cantSplit/>
        </w:trPr>
        <w:tc>
          <w:tcPr>
            <w:tcW w:type="dxa" w:w="3572"/>
            <w:vAlign w:val="center"/>
          </w:tcPr>
          <w:p>
            <w:pPr>
              <w:keepNext/>
              <w:spacing w:line="240" w:lineRule="auto" w:after="80" w:before="80"/>
              <w:jc w:val="left"/>
            </w:pPr>
            <w:r>
              <w:rPr>
                <w:b w:val="0"/>
                <w:sz w:val="19"/>
              </w:rPr>
              <w:t>机身速度：水平位置（mm）</w:t>
            </w:r>
          </w:p>
        </w:tc>
        <w:tc>
          <w:tcPr>
            <w:tcW w:type="dxa" w:w="907"/>
            <w:vAlign w:val="center"/>
          </w:tcPr>
          <w:p>
            <w:pPr>
              <w:keepNext/>
              <w:spacing w:line="240" w:lineRule="auto" w:after="80" w:before="80"/>
              <w:jc w:val="center"/>
            </w:pPr>
            <w:r>
              <w:rPr>
                <w:b w:val="0"/>
                <w:sz w:val="19"/>
              </w:rPr>
              <w:t>519</w:t>
            </w:r>
          </w:p>
        </w:tc>
        <w:tc>
          <w:tcPr>
            <w:tcW w:type="dxa" w:w="1701"/>
            <w:vAlign w:val="center"/>
          </w:tcPr>
          <w:p>
            <w:pPr>
              <w:keepNext/>
              <w:spacing w:line="240" w:lineRule="auto" w:after="80" w:before="80"/>
              <w:jc w:val="center"/>
            </w:pPr>
            <w:r>
              <w:rPr>
                <w:b w:val="0"/>
                <w:sz w:val="19"/>
              </w:rPr>
              <w:t>-1.11852</w:t>
            </w:r>
          </w:p>
        </w:tc>
        <w:tc>
          <w:tcPr>
            <w:tcW w:type="dxa" w:w="1701"/>
            <w:vAlign w:val="center"/>
          </w:tcPr>
          <w:p>
            <w:pPr>
              <w:keepNext/>
              <w:spacing w:line="240" w:lineRule="auto" w:after="80" w:before="80"/>
              <w:jc w:val="center"/>
            </w:pPr>
            <w:r>
              <w:rPr>
                <w:b w:val="0"/>
                <w:sz w:val="19"/>
              </w:rPr>
              <w:t>-10.651</w:t>
            </w:r>
          </w:p>
        </w:tc>
        <w:tc>
          <w:tcPr>
            <w:tcW w:type="dxa" w:w="1531"/>
            <w:vAlign w:val="center"/>
          </w:tcPr>
          <w:p>
            <w:pPr>
              <w:keepNext/>
              <w:spacing w:line="240" w:lineRule="auto" w:after="80" w:before="80"/>
              <w:jc w:val="center"/>
            </w:pPr>
            <w:r>
              <w:rPr>
                <w:b w:val="0"/>
                <w:sz w:val="19"/>
              </w:rPr>
              <w:t>472/519</w:t>
            </w:r>
          </w:p>
        </w:tc>
      </w:tr>
      <w:tr>
        <w:trPr>
          <w:cantSplit/>
        </w:trPr>
        <w:tc>
          <w:tcPr>
            <w:tcW w:type="dxa" w:w="3572"/>
            <w:vAlign w:val="center"/>
          </w:tcPr>
          <w:p>
            <w:pPr>
              <w:keepNext/>
              <w:spacing w:line="240" w:lineRule="auto" w:after="80" w:before="80"/>
              <w:jc w:val="left"/>
            </w:pPr>
            <w:r>
              <w:rPr>
                <w:b w:val="0"/>
                <w:sz w:val="19"/>
              </w:rPr>
              <w:t>机身倾角：横滚（°）</w:t>
            </w:r>
          </w:p>
        </w:tc>
        <w:tc>
          <w:tcPr>
            <w:tcW w:type="dxa" w:w="907"/>
            <w:vAlign w:val="center"/>
          </w:tcPr>
          <w:p>
            <w:pPr>
              <w:keepNext/>
              <w:spacing w:line="240" w:lineRule="auto" w:after="80" w:before="80"/>
              <w:jc w:val="center"/>
            </w:pPr>
            <w:r>
              <w:rPr>
                <w:b w:val="0"/>
                <w:sz w:val="19"/>
              </w:rPr>
              <w:t>519</w:t>
            </w:r>
          </w:p>
        </w:tc>
        <w:tc>
          <w:tcPr>
            <w:tcW w:type="dxa" w:w="1701"/>
            <w:vAlign w:val="center"/>
          </w:tcPr>
          <w:p>
            <w:pPr>
              <w:keepNext/>
              <w:spacing w:line="240" w:lineRule="auto" w:after="80" w:before="80"/>
              <w:jc w:val="center"/>
            </w:pPr>
            <w:r>
              <w:rPr>
                <w:b w:val="0"/>
                <w:sz w:val="19"/>
              </w:rPr>
              <w:t>-1.07200</w:t>
            </w:r>
          </w:p>
        </w:tc>
        <w:tc>
          <w:tcPr>
            <w:tcW w:type="dxa" w:w="1701"/>
            <w:vAlign w:val="center"/>
          </w:tcPr>
          <w:p>
            <w:pPr>
              <w:keepNext/>
              <w:spacing w:line="240" w:lineRule="auto" w:after="80" w:before="80"/>
              <w:jc w:val="center"/>
            </w:pPr>
            <w:r>
              <w:rPr>
                <w:b w:val="0"/>
                <w:sz w:val="19"/>
              </w:rPr>
              <w:t>-1.790</w:t>
            </w:r>
          </w:p>
        </w:tc>
        <w:tc>
          <w:tcPr>
            <w:tcW w:type="dxa" w:w="1531"/>
            <w:vAlign w:val="center"/>
          </w:tcPr>
          <w:p>
            <w:pPr>
              <w:keepNext/>
              <w:spacing w:line="240" w:lineRule="auto" w:after="80" w:before="80"/>
              <w:jc w:val="center"/>
            </w:pPr>
            <w:r>
              <w:rPr>
                <w:b w:val="0"/>
                <w:sz w:val="19"/>
              </w:rPr>
              <w:t>519/519</w:t>
            </w:r>
          </w:p>
        </w:tc>
      </w:tr>
      <w:tr>
        <w:trPr>
          <w:cantSplit/>
        </w:trPr>
        <w:tc>
          <w:tcPr>
            <w:tcW w:type="dxa" w:w="3572"/>
            <w:vAlign w:val="center"/>
          </w:tcPr>
          <w:p>
            <w:pPr>
              <w:keepNext/>
              <w:spacing w:line="240" w:lineRule="auto" w:after="80" w:before="80"/>
              <w:jc w:val="left"/>
            </w:pPr>
            <w:r>
              <w:rPr>
                <w:b w:val="0"/>
                <w:sz w:val="19"/>
              </w:rPr>
              <w:t>机身倾角：俯仰（°）</w:t>
            </w:r>
          </w:p>
        </w:tc>
        <w:tc>
          <w:tcPr>
            <w:tcW w:type="dxa" w:w="907"/>
            <w:vAlign w:val="center"/>
          </w:tcPr>
          <w:p>
            <w:pPr>
              <w:keepNext/>
              <w:spacing w:line="240" w:lineRule="auto" w:after="80" w:before="80"/>
              <w:jc w:val="center"/>
            </w:pPr>
            <w:r>
              <w:rPr>
                <w:b w:val="0"/>
                <w:sz w:val="19"/>
              </w:rPr>
              <w:t>519</w:t>
            </w:r>
          </w:p>
        </w:tc>
        <w:tc>
          <w:tcPr>
            <w:tcW w:type="dxa" w:w="1701"/>
            <w:vAlign w:val="center"/>
          </w:tcPr>
          <w:p>
            <w:pPr>
              <w:keepNext/>
              <w:spacing w:line="240" w:lineRule="auto" w:after="80" w:before="80"/>
              <w:jc w:val="center"/>
            </w:pPr>
            <w:r>
              <w:rPr>
                <w:b w:val="0"/>
                <w:sz w:val="19"/>
              </w:rPr>
              <w:t>-0.66380</w:t>
            </w:r>
          </w:p>
        </w:tc>
        <w:tc>
          <w:tcPr>
            <w:tcW w:type="dxa" w:w="1701"/>
            <w:vAlign w:val="center"/>
          </w:tcPr>
          <w:p>
            <w:pPr>
              <w:keepNext/>
              <w:spacing w:line="240" w:lineRule="auto" w:after="80" w:before="80"/>
              <w:jc w:val="center"/>
            </w:pPr>
            <w:r>
              <w:rPr>
                <w:b w:val="0"/>
                <w:sz w:val="19"/>
              </w:rPr>
              <w:t>-1.027</w:t>
            </w:r>
          </w:p>
        </w:tc>
        <w:tc>
          <w:tcPr>
            <w:tcW w:type="dxa" w:w="1531"/>
            <w:vAlign w:val="center"/>
          </w:tcPr>
          <w:p>
            <w:pPr>
              <w:keepNext/>
              <w:spacing w:line="240" w:lineRule="auto" w:after="80" w:before="80"/>
              <w:jc w:val="center"/>
            </w:pPr>
            <w:r>
              <w:rPr>
                <w:b w:val="0"/>
                <w:sz w:val="19"/>
              </w:rPr>
              <w:t>519/519</w:t>
            </w:r>
          </w:p>
        </w:tc>
      </w:tr>
      <w:tr>
        <w:trPr>
          <w:cantSplit/>
        </w:trPr>
        <w:tc>
          <w:tcPr>
            <w:tcW w:type="dxa" w:w="3572"/>
            <w:vAlign w:val="center"/>
          </w:tcPr>
          <w:p>
            <w:pPr>
              <w:keepNext/>
              <w:spacing w:line="240" w:lineRule="auto" w:after="80" w:before="80"/>
              <w:jc w:val="left"/>
            </w:pPr>
            <w:r>
              <w:rPr>
                <w:b w:val="0"/>
                <w:sz w:val="19"/>
              </w:rPr>
              <w:t>协方差膨胀：水平位置（mm）</w:t>
            </w:r>
          </w:p>
        </w:tc>
        <w:tc>
          <w:tcPr>
            <w:tcW w:type="dxa" w:w="907"/>
            <w:vAlign w:val="center"/>
          </w:tcPr>
          <w:p>
            <w:pPr>
              <w:keepNext/>
              <w:spacing w:line="240" w:lineRule="auto" w:after="80" w:before="80"/>
              <w:jc w:val="center"/>
            </w:pPr>
            <w:r>
              <w:rPr>
                <w:b w:val="0"/>
                <w:sz w:val="19"/>
              </w:rPr>
              <w:t>513</w:t>
            </w:r>
          </w:p>
        </w:tc>
        <w:tc>
          <w:tcPr>
            <w:tcW w:type="dxa" w:w="1701"/>
            <w:vAlign w:val="center"/>
          </w:tcPr>
          <w:p>
            <w:pPr>
              <w:keepNext/>
              <w:spacing w:line="240" w:lineRule="auto" w:after="80" w:before="80"/>
              <w:jc w:val="center"/>
            </w:pPr>
            <w:r>
              <w:rPr>
                <w:b w:val="0"/>
                <w:sz w:val="19"/>
              </w:rPr>
              <w:t>+0.98121</w:t>
            </w:r>
          </w:p>
        </w:tc>
        <w:tc>
          <w:tcPr>
            <w:tcW w:type="dxa" w:w="1701"/>
            <w:vAlign w:val="center"/>
          </w:tcPr>
          <w:p>
            <w:pPr>
              <w:keepNext/>
              <w:spacing w:line="240" w:lineRule="auto" w:after="80" w:before="80"/>
              <w:jc w:val="center"/>
            </w:pPr>
            <w:r>
              <w:rPr>
                <w:b w:val="0"/>
                <w:sz w:val="19"/>
              </w:rPr>
              <w:t>+24.245</w:t>
            </w:r>
          </w:p>
        </w:tc>
        <w:tc>
          <w:tcPr>
            <w:tcW w:type="dxa" w:w="1531"/>
            <w:vAlign w:val="center"/>
          </w:tcPr>
          <w:p>
            <w:pPr>
              <w:keepNext/>
              <w:spacing w:line="240" w:lineRule="auto" w:after="80" w:before="80"/>
              <w:jc w:val="center"/>
            </w:pPr>
            <w:r>
              <w:rPr>
                <w:b w:val="0"/>
                <w:sz w:val="19"/>
              </w:rPr>
              <w:t>115/513</w:t>
            </w:r>
          </w:p>
        </w:tc>
      </w:tr>
      <w:tr>
        <w:trPr>
          <w:cantSplit/>
        </w:trPr>
        <w:tc>
          <w:tcPr>
            <w:tcW w:type="dxa" w:w="3572"/>
            <w:vAlign w:val="center"/>
          </w:tcPr>
          <w:p>
            <w:pPr>
              <w:keepNext w:val="0"/>
              <w:spacing w:line="240" w:lineRule="auto" w:after="80" w:before="80"/>
              <w:jc w:val="left"/>
            </w:pPr>
            <w:r>
              <w:rPr>
                <w:b w:val="0"/>
                <w:sz w:val="19"/>
              </w:rPr>
              <w:t>协方差膨胀：航向（°）</w:t>
            </w:r>
          </w:p>
        </w:tc>
        <w:tc>
          <w:tcPr>
            <w:tcW w:type="dxa" w:w="907"/>
            <w:vAlign w:val="center"/>
          </w:tcPr>
          <w:p>
            <w:pPr>
              <w:keepNext w:val="0"/>
              <w:spacing w:line="240" w:lineRule="auto" w:after="80" w:before="80"/>
              <w:jc w:val="center"/>
            </w:pPr>
            <w:r>
              <w:rPr>
                <w:b w:val="0"/>
                <w:sz w:val="19"/>
              </w:rPr>
              <w:t>513</w:t>
            </w:r>
          </w:p>
        </w:tc>
        <w:tc>
          <w:tcPr>
            <w:tcW w:type="dxa" w:w="1701"/>
            <w:vAlign w:val="center"/>
          </w:tcPr>
          <w:p>
            <w:pPr>
              <w:keepNext w:val="0"/>
              <w:spacing w:line="240" w:lineRule="auto" w:after="80" w:before="80"/>
              <w:jc w:val="center"/>
            </w:pPr>
            <w:r>
              <w:rPr>
                <w:b w:val="0"/>
                <w:sz w:val="19"/>
              </w:rPr>
              <w:t>+0.00026</w:t>
            </w:r>
          </w:p>
        </w:tc>
        <w:tc>
          <w:tcPr>
            <w:tcW w:type="dxa" w:w="1701"/>
            <w:vAlign w:val="center"/>
          </w:tcPr>
          <w:p>
            <w:pPr>
              <w:keepNext w:val="0"/>
              <w:spacing w:line="240" w:lineRule="auto" w:after="80" w:before="80"/>
              <w:jc w:val="center"/>
            </w:pPr>
            <w:r>
              <w:rPr>
                <w:b w:val="0"/>
                <w:sz w:val="19"/>
              </w:rPr>
              <w:t>-1.739</w:t>
            </w:r>
          </w:p>
        </w:tc>
        <w:tc>
          <w:tcPr>
            <w:tcW w:type="dxa" w:w="1531"/>
            <w:vAlign w:val="center"/>
          </w:tcPr>
          <w:p>
            <w:pPr>
              <w:keepNext w:val="0"/>
              <w:spacing w:line="240" w:lineRule="auto" w:after="80" w:before="80"/>
              <w:jc w:val="center"/>
            </w:pPr>
            <w:r>
              <w:rPr>
                <w:b w:val="0"/>
                <w:sz w:val="19"/>
              </w:rPr>
              <w:t>190/513</w:t>
            </w:r>
          </w:p>
        </w:tc>
      </w:tr>
    </w:tbl>
    <w:p>
      <w:pPr>
        <w:widowControl/>
      </w:pPr>
      <w:r>
        <w:t>表中差值均为完整融合减去相应消融，负值表示误差降低。均值与中位数共同显示了典型案例和较严重扰动之间的差异。</w:t>
      </w:r>
    </w:p>
    <w:p>
      <w:pPr>
        <w:widowControl/>
      </w:pPr>
      <w:r>
        <w:t>机身水平速度在472个配对中降低水平RMSE，平均降幅为10.65 mm，中位降幅为1.12 mm。均值明显大于中位数，说明较少数扰动案例具有更大的收益。水平更新也会通过状态协方差影响垂直估计：365个案例的垂直RMSE增加，但中位增幅约为0.004 mm，平均变化反而降低约0.60 mm。仅按升降次数判断这一垂直影响，会掩盖实际效果量的差别。</w:t>
      </w:r>
    </w:p>
    <w:p>
      <w:pPr>
        <w:widowControl/>
      </w:pPr>
      <w:r>
        <w:t>多普勒速度在453个配对中降低水平RMSE，典型降幅约0.15 mm，平均降幅1.55 mm。相较已有接收机速度，它在本配置中主要提供增量补充。协方差膨胀则呈现另一种取舍：共同完成的513例中，水平RMSE中位增加0.98 mm、平均增加24.24 mm；航向平均降低1.739°，中位略增0.00026°。结合新增六个完成案例，该策略的主要价值集中于部分严重冲突，而普通案例的位置误差可能付出代价。</w:t>
      </w:r>
    </w:p>
    <w:p>
      <w:pPr>
        <w:pStyle w:val="Heading2"/>
      </w:pPr>
      <w:r>
        <w:t>4.4 两类GNSS失锁中的机身速度作用</w:t>
      </w:r>
    </w:p>
    <w:p>
      <w:pPr>
        <w:widowControl/>
      </w:pPr>
      <w:r>
        <w:t>机身速度的最大收益出现在平移观测丢失而航向保留的情况。表5分别比较全部GNSS丢失和保留航向两类输入条件，每种时长均包含九个指定失锁位置，指标为完整274 s窗口的水平RMSE。</w:t>
      </w:r>
    </w:p>
    <w:p>
      <w:pPr>
        <w:keepNext/>
        <w:widowControl/>
      </w:pPr>
      <w:r>
        <w:rPr>
          <w:b/>
        </w:rPr>
        <w:t>表5 机身水平速度在两类失锁条件下的表现</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2154"/>
            <w:vAlign w:val="center"/>
            <w:shd w:fill="E5E7EB"/>
          </w:tcPr>
          <w:p>
            <w:pPr>
              <w:keepNext/>
              <w:spacing w:line="240" w:lineRule="auto" w:after="80" w:before="80"/>
              <w:jc w:val="left"/>
            </w:pPr>
            <w:r>
              <w:rPr>
                <w:b/>
                <w:sz w:val="19"/>
              </w:rPr>
              <w:t>可用GNSS观测</w:t>
            </w:r>
          </w:p>
        </w:tc>
        <w:tc>
          <w:tcPr>
            <w:tcW w:type="dxa" w:w="1247"/>
            <w:vAlign w:val="center"/>
            <w:shd w:fill="E5E7EB"/>
          </w:tcPr>
          <w:p>
            <w:pPr>
              <w:keepNext/>
              <w:spacing w:line="240" w:lineRule="auto" w:after="80" w:before="80"/>
              <w:jc w:val="center"/>
            </w:pPr>
            <w:r>
              <w:rPr>
                <w:b/>
                <w:sz w:val="19"/>
              </w:rPr>
              <w:t>失锁时长（s）</w:t>
            </w:r>
          </w:p>
        </w:tc>
        <w:tc>
          <w:tcPr>
            <w:tcW w:type="dxa" w:w="1984"/>
            <w:vAlign w:val="center"/>
            <w:shd w:fill="E5E7EB"/>
          </w:tcPr>
          <w:p>
            <w:pPr>
              <w:keepNext/>
              <w:spacing w:line="240" w:lineRule="auto" w:after="80" w:before="80"/>
              <w:jc w:val="center"/>
            </w:pPr>
            <w:r>
              <w:rPr>
                <w:b/>
                <w:sz w:val="19"/>
              </w:rPr>
              <w:t>完整融合中位RMSE（m）</w:t>
            </w:r>
          </w:p>
        </w:tc>
        <w:tc>
          <w:tcPr>
            <w:tcW w:type="dxa" w:w="1984"/>
            <w:vAlign w:val="center"/>
            <w:shd w:fill="E5E7EB"/>
          </w:tcPr>
          <w:p>
            <w:pPr>
              <w:keepNext/>
              <w:spacing w:line="240" w:lineRule="auto" w:after="80" w:before="80"/>
              <w:jc w:val="center"/>
            </w:pPr>
            <w:r>
              <w:rPr>
                <w:b/>
                <w:sz w:val="19"/>
              </w:rPr>
              <w:t>移除机身速度中位RMSE（m）</w:t>
            </w:r>
          </w:p>
        </w:tc>
        <w:tc>
          <w:tcPr>
            <w:tcW w:type="dxa" w:w="2041"/>
            <w:vAlign w:val="center"/>
            <w:shd w:fill="E5E7EB"/>
          </w:tcPr>
          <w:p>
            <w:pPr>
              <w:keepNext/>
              <w:spacing w:line="240" w:lineRule="auto" w:after="80" w:before="80"/>
              <w:jc w:val="center"/>
            </w:pPr>
            <w:r>
              <w:rPr>
                <w:b/>
                <w:sz w:val="19"/>
              </w:rPr>
              <w:t>配对差中位数（m）</w:t>
            </w:r>
          </w:p>
        </w:tc>
      </w:tr>
      <w:tr>
        <w:trPr>
          <w:cantSplit/>
        </w:trPr>
        <w:tc>
          <w:tcPr>
            <w:tcW w:type="dxa" w:w="2154"/>
            <w:vAlign w:val="center"/>
          </w:tcPr>
          <w:p>
            <w:pPr>
              <w:keepNext/>
              <w:spacing w:line="240" w:lineRule="auto" w:after="80" w:before="80"/>
              <w:jc w:val="left"/>
            </w:pPr>
            <w:r>
              <w:rPr>
                <w:b w:val="0"/>
                <w:sz w:val="19"/>
              </w:rPr>
              <w:t>全部GNSS丢失</w:t>
            </w:r>
          </w:p>
        </w:tc>
        <w:tc>
          <w:tcPr>
            <w:tcW w:type="dxa" w:w="1247"/>
            <w:vAlign w:val="center"/>
          </w:tcPr>
          <w:p>
            <w:pPr>
              <w:keepNext/>
              <w:spacing w:line="240" w:lineRule="auto" w:after="80" w:before="80"/>
              <w:jc w:val="center"/>
            </w:pPr>
            <w:r>
              <w:rPr>
                <w:b w:val="0"/>
                <w:sz w:val="19"/>
              </w:rPr>
              <w:t>10</w:t>
            </w:r>
          </w:p>
        </w:tc>
        <w:tc>
          <w:tcPr>
            <w:tcW w:type="dxa" w:w="1984"/>
            <w:vAlign w:val="center"/>
          </w:tcPr>
          <w:p>
            <w:pPr>
              <w:keepNext/>
              <w:spacing w:line="240" w:lineRule="auto" w:after="80" w:before="80"/>
              <w:jc w:val="center"/>
            </w:pPr>
            <w:r>
              <w:rPr>
                <w:b w:val="0"/>
                <w:sz w:val="19"/>
              </w:rPr>
              <w:t>1.794</w:t>
            </w:r>
          </w:p>
        </w:tc>
        <w:tc>
          <w:tcPr>
            <w:tcW w:type="dxa" w:w="1984"/>
            <w:vAlign w:val="center"/>
          </w:tcPr>
          <w:p>
            <w:pPr>
              <w:keepNext/>
              <w:spacing w:line="240" w:lineRule="auto" w:after="80" w:before="80"/>
              <w:jc w:val="center"/>
            </w:pPr>
            <w:r>
              <w:rPr>
                <w:b w:val="0"/>
                <w:sz w:val="19"/>
              </w:rPr>
              <w:t>1.794</w:t>
            </w:r>
          </w:p>
        </w:tc>
        <w:tc>
          <w:tcPr>
            <w:tcW w:type="dxa" w:w="2041"/>
            <w:vAlign w:val="center"/>
          </w:tcPr>
          <w:p>
            <w:pPr>
              <w:keepNext/>
              <w:spacing w:line="240" w:lineRule="auto" w:after="80" w:before="80"/>
              <w:jc w:val="center"/>
            </w:pPr>
            <w:r>
              <w:rPr>
                <w:b w:val="0"/>
                <w:sz w:val="19"/>
              </w:rPr>
              <w:t>-0.0002</w:t>
            </w:r>
          </w:p>
        </w:tc>
      </w:tr>
      <w:tr>
        <w:trPr>
          <w:cantSplit/>
        </w:trPr>
        <w:tc>
          <w:tcPr>
            <w:tcW w:type="dxa" w:w="2154"/>
            <w:vAlign w:val="center"/>
          </w:tcPr>
          <w:p>
            <w:pPr>
              <w:keepNext/>
              <w:spacing w:line="240" w:lineRule="auto" w:after="80" w:before="80"/>
              <w:jc w:val="left"/>
            </w:pPr>
            <w:r>
              <w:rPr>
                <w:b w:val="0"/>
                <w:sz w:val="19"/>
              </w:rPr>
              <w:t>全部GNSS丢失</w:t>
            </w:r>
          </w:p>
        </w:tc>
        <w:tc>
          <w:tcPr>
            <w:tcW w:type="dxa" w:w="1247"/>
            <w:vAlign w:val="center"/>
          </w:tcPr>
          <w:p>
            <w:pPr>
              <w:keepNext/>
              <w:spacing w:line="240" w:lineRule="auto" w:after="80" w:before="80"/>
              <w:jc w:val="center"/>
            </w:pPr>
            <w:r>
              <w:rPr>
                <w:b w:val="0"/>
                <w:sz w:val="19"/>
              </w:rPr>
              <w:t>20</w:t>
            </w:r>
          </w:p>
        </w:tc>
        <w:tc>
          <w:tcPr>
            <w:tcW w:type="dxa" w:w="1984"/>
            <w:vAlign w:val="center"/>
          </w:tcPr>
          <w:p>
            <w:pPr>
              <w:keepNext/>
              <w:spacing w:line="240" w:lineRule="auto" w:after="80" w:before="80"/>
              <w:jc w:val="center"/>
            </w:pPr>
            <w:r>
              <w:rPr>
                <w:b w:val="0"/>
                <w:sz w:val="19"/>
              </w:rPr>
              <w:t>10.292</w:t>
            </w:r>
          </w:p>
        </w:tc>
        <w:tc>
          <w:tcPr>
            <w:tcW w:type="dxa" w:w="1984"/>
            <w:vAlign w:val="center"/>
          </w:tcPr>
          <w:p>
            <w:pPr>
              <w:keepNext/>
              <w:spacing w:line="240" w:lineRule="auto" w:after="80" w:before="80"/>
              <w:jc w:val="center"/>
            </w:pPr>
            <w:r>
              <w:rPr>
                <w:b w:val="0"/>
                <w:sz w:val="19"/>
              </w:rPr>
              <w:t>10.301</w:t>
            </w:r>
          </w:p>
        </w:tc>
        <w:tc>
          <w:tcPr>
            <w:tcW w:type="dxa" w:w="2041"/>
            <w:vAlign w:val="center"/>
          </w:tcPr>
          <w:p>
            <w:pPr>
              <w:keepNext/>
              <w:spacing w:line="240" w:lineRule="auto" w:after="80" w:before="80"/>
              <w:jc w:val="center"/>
            </w:pPr>
            <w:r>
              <w:rPr>
                <w:b w:val="0"/>
                <w:sz w:val="19"/>
              </w:rPr>
              <w:t>-0.0036</w:t>
            </w:r>
          </w:p>
        </w:tc>
      </w:tr>
      <w:tr>
        <w:trPr>
          <w:cantSplit/>
        </w:trPr>
        <w:tc>
          <w:tcPr>
            <w:tcW w:type="dxa" w:w="2154"/>
            <w:vAlign w:val="center"/>
          </w:tcPr>
          <w:p>
            <w:pPr>
              <w:keepNext/>
              <w:spacing w:line="240" w:lineRule="auto" w:after="80" w:before="80"/>
              <w:jc w:val="left"/>
            </w:pPr>
            <w:r>
              <w:rPr>
                <w:b w:val="0"/>
                <w:sz w:val="19"/>
              </w:rPr>
              <w:t>全部GNSS丢失</w:t>
            </w:r>
          </w:p>
        </w:tc>
        <w:tc>
          <w:tcPr>
            <w:tcW w:type="dxa" w:w="1247"/>
            <w:vAlign w:val="center"/>
          </w:tcPr>
          <w:p>
            <w:pPr>
              <w:keepNext/>
              <w:spacing w:line="240" w:lineRule="auto" w:after="80" w:before="80"/>
              <w:jc w:val="center"/>
            </w:pPr>
            <w:r>
              <w:rPr>
                <w:b w:val="0"/>
                <w:sz w:val="19"/>
              </w:rPr>
              <w:t>30</w:t>
            </w:r>
          </w:p>
        </w:tc>
        <w:tc>
          <w:tcPr>
            <w:tcW w:type="dxa" w:w="1984"/>
            <w:vAlign w:val="center"/>
          </w:tcPr>
          <w:p>
            <w:pPr>
              <w:keepNext/>
              <w:spacing w:line="240" w:lineRule="auto" w:after="80" w:before="80"/>
              <w:jc w:val="center"/>
            </w:pPr>
            <w:r>
              <w:rPr>
                <w:b w:val="0"/>
                <w:sz w:val="19"/>
              </w:rPr>
              <w:t>33.596</w:t>
            </w:r>
          </w:p>
        </w:tc>
        <w:tc>
          <w:tcPr>
            <w:tcW w:type="dxa" w:w="1984"/>
            <w:vAlign w:val="center"/>
          </w:tcPr>
          <w:p>
            <w:pPr>
              <w:keepNext/>
              <w:spacing w:line="240" w:lineRule="auto" w:after="80" w:before="80"/>
              <w:jc w:val="center"/>
            </w:pPr>
            <w:r>
              <w:rPr>
                <w:b w:val="0"/>
                <w:sz w:val="19"/>
              </w:rPr>
              <w:t>33.634</w:t>
            </w:r>
          </w:p>
        </w:tc>
        <w:tc>
          <w:tcPr>
            <w:tcW w:type="dxa" w:w="2041"/>
            <w:vAlign w:val="center"/>
          </w:tcPr>
          <w:p>
            <w:pPr>
              <w:keepNext/>
              <w:spacing w:line="240" w:lineRule="auto" w:after="80" w:before="80"/>
              <w:jc w:val="center"/>
            </w:pPr>
            <w:r>
              <w:rPr>
                <w:b w:val="0"/>
                <w:sz w:val="19"/>
              </w:rPr>
              <w:t>-0.0377</w:t>
            </w:r>
          </w:p>
        </w:tc>
      </w:tr>
      <w:tr>
        <w:trPr>
          <w:cantSplit/>
        </w:trPr>
        <w:tc>
          <w:tcPr>
            <w:tcW w:type="dxa" w:w="2154"/>
            <w:vAlign w:val="center"/>
          </w:tcPr>
          <w:p>
            <w:pPr>
              <w:keepNext/>
              <w:spacing w:line="240" w:lineRule="auto" w:after="80" w:before="80"/>
              <w:jc w:val="left"/>
            </w:pPr>
            <w:r>
              <w:rPr>
                <w:b w:val="0"/>
                <w:sz w:val="19"/>
              </w:rPr>
              <w:t>保留航向</w:t>
            </w:r>
          </w:p>
        </w:tc>
        <w:tc>
          <w:tcPr>
            <w:tcW w:type="dxa" w:w="1247"/>
            <w:vAlign w:val="center"/>
          </w:tcPr>
          <w:p>
            <w:pPr>
              <w:keepNext/>
              <w:spacing w:line="240" w:lineRule="auto" w:after="80" w:before="80"/>
              <w:jc w:val="center"/>
            </w:pPr>
            <w:r>
              <w:rPr>
                <w:b w:val="0"/>
                <w:sz w:val="19"/>
              </w:rPr>
              <w:t>10</w:t>
            </w:r>
          </w:p>
        </w:tc>
        <w:tc>
          <w:tcPr>
            <w:tcW w:type="dxa" w:w="1984"/>
            <w:vAlign w:val="center"/>
          </w:tcPr>
          <w:p>
            <w:pPr>
              <w:keepNext/>
              <w:spacing w:line="240" w:lineRule="auto" w:after="80" w:before="80"/>
              <w:jc w:val="center"/>
            </w:pPr>
            <w:r>
              <w:rPr>
                <w:b w:val="0"/>
                <w:sz w:val="19"/>
              </w:rPr>
              <w:t>0.126</w:t>
            </w:r>
          </w:p>
        </w:tc>
        <w:tc>
          <w:tcPr>
            <w:tcW w:type="dxa" w:w="1984"/>
            <w:vAlign w:val="center"/>
          </w:tcPr>
          <w:p>
            <w:pPr>
              <w:keepNext/>
              <w:spacing w:line="240" w:lineRule="auto" w:after="80" w:before="80"/>
              <w:jc w:val="center"/>
            </w:pPr>
            <w:r>
              <w:rPr>
                <w:b w:val="0"/>
                <w:sz w:val="19"/>
              </w:rPr>
              <w:t>1.603</w:t>
            </w:r>
          </w:p>
        </w:tc>
        <w:tc>
          <w:tcPr>
            <w:tcW w:type="dxa" w:w="2041"/>
            <w:vAlign w:val="center"/>
          </w:tcPr>
          <w:p>
            <w:pPr>
              <w:keepNext/>
              <w:spacing w:line="240" w:lineRule="auto" w:after="80" w:before="80"/>
              <w:jc w:val="center"/>
            </w:pPr>
            <w:r>
              <w:rPr>
                <w:b w:val="0"/>
                <w:sz w:val="19"/>
              </w:rPr>
              <w:t>-1.4787</w:t>
            </w:r>
          </w:p>
        </w:tc>
      </w:tr>
      <w:tr>
        <w:trPr>
          <w:cantSplit/>
        </w:trPr>
        <w:tc>
          <w:tcPr>
            <w:tcW w:type="dxa" w:w="2154"/>
            <w:vAlign w:val="center"/>
          </w:tcPr>
          <w:p>
            <w:pPr>
              <w:keepNext w:val="0"/>
              <w:spacing w:line="240" w:lineRule="auto" w:after="80" w:before="80"/>
              <w:jc w:val="left"/>
            </w:pPr>
            <w:r>
              <w:rPr>
                <w:b w:val="0"/>
                <w:sz w:val="19"/>
              </w:rPr>
              <w:t>保留航向</w:t>
            </w:r>
          </w:p>
        </w:tc>
        <w:tc>
          <w:tcPr>
            <w:tcW w:type="dxa" w:w="1247"/>
            <w:vAlign w:val="center"/>
          </w:tcPr>
          <w:p>
            <w:pPr>
              <w:keepNext w:val="0"/>
              <w:spacing w:line="240" w:lineRule="auto" w:after="80" w:before="80"/>
              <w:jc w:val="center"/>
            </w:pPr>
            <w:r>
              <w:rPr>
                <w:b w:val="0"/>
                <w:sz w:val="19"/>
              </w:rPr>
              <w:t>20</w:t>
            </w:r>
          </w:p>
        </w:tc>
        <w:tc>
          <w:tcPr>
            <w:tcW w:type="dxa" w:w="1984"/>
            <w:vAlign w:val="center"/>
          </w:tcPr>
          <w:p>
            <w:pPr>
              <w:keepNext w:val="0"/>
              <w:spacing w:line="240" w:lineRule="auto" w:after="80" w:before="80"/>
              <w:jc w:val="center"/>
            </w:pPr>
            <w:r>
              <w:rPr>
                <w:b w:val="0"/>
                <w:sz w:val="19"/>
              </w:rPr>
              <w:t>0.241</w:t>
            </w:r>
          </w:p>
        </w:tc>
        <w:tc>
          <w:tcPr>
            <w:tcW w:type="dxa" w:w="1984"/>
            <w:vAlign w:val="center"/>
          </w:tcPr>
          <w:p>
            <w:pPr>
              <w:keepNext w:val="0"/>
              <w:spacing w:line="240" w:lineRule="auto" w:after="80" w:before="80"/>
              <w:jc w:val="center"/>
            </w:pPr>
            <w:r>
              <w:rPr>
                <w:b w:val="0"/>
                <w:sz w:val="19"/>
              </w:rPr>
              <w:t>7.961</w:t>
            </w:r>
          </w:p>
        </w:tc>
        <w:tc>
          <w:tcPr>
            <w:tcW w:type="dxa" w:w="2041"/>
            <w:vAlign w:val="center"/>
          </w:tcPr>
          <w:p>
            <w:pPr>
              <w:keepNext w:val="0"/>
              <w:spacing w:line="240" w:lineRule="auto" w:after="80" w:before="80"/>
              <w:jc w:val="center"/>
            </w:pPr>
            <w:r>
              <w:rPr>
                <w:b w:val="0"/>
                <w:sz w:val="19"/>
              </w:rPr>
              <w:t>-7.7499</w:t>
            </w:r>
          </w:p>
        </w:tc>
      </w:tr>
    </w:tbl>
    <w:p>
      <w:pPr>
        <w:widowControl/>
      </w:pPr>
      <w:r>
        <w:t>配对差先逐案例计算再取中位数，因而可与两列独立中位数之差不同。保留航向时，10 s和20 s失锁下的完整融合误差分别维持在0.126和0.241 m，而移除速度辅助后分别为1.603和7.961 m。航向使机身速度能够保持导航系转换，并提供辅助更新事件，九个位置均得到水平误差改善。</w:t>
      </w:r>
    </w:p>
    <w:p>
      <w:pPr>
        <w:widowControl/>
      </w:pPr>
      <w:r>
        <w:t>全部GNSS丢失时，完整融合与移除速度辅助的结果十分接近，20 s和30 s失锁已对应约10 m和34 m的全窗RMSE。接口速度消息的存在与滤波器实际可接受的辅助更新之间存在区别；本实现的航向和调度依赖使其在完全失锁中难以发挥同样作用。</w:t>
      </w:r>
    </w:p>
    <w:p>
      <w:pPr>
        <w:widowControl/>
      </w:pPr>
      <w:r>
        <w:t>进一步采用显式IMU间隔处理的另一组135次实验，分别评价故障区间、故障末端和恢复阶段。保留航向的10 s、20 s失锁中，九位置水平RMSE的算术均值分别由移除速度辅助时的7.870、30.474 m降至完整融合的0.431、0.860 m，两个条件下九个位置均改善。故障结束前最后实测历元的水平误差均值分别由17.314、66.070 m降至0.737、1.432 m；恢复后最初5 s的水平RMSE均值由2.944、11.024 m降至0.143、0.260 m。该组结果给出细时域效果，表5仍保留原全窗评价。保留航向期间，每例在机身水平速度和倾角两个通道各接受50或100次更新；全部失锁期间机身辅助更新为零。两个保留航向条件的故障内垂直RMSE均变化分别为+0.108和+0.189 m，体现水平收益伴随的垂向影响。</w:t>
      </w:r>
    </w:p>
    <w:p>
      <w:pPr>
        <w:pStyle w:val="Heading2"/>
      </w:pPr>
      <w:r>
        <w:t>4.5 动基线与因子图路线的横向比较</w:t>
      </w:r>
    </w:p>
    <w:p>
      <w:pPr>
        <w:widowControl/>
      </w:pPr>
      <w:r>
        <w:t>RTKLIB四种动基线配置在BY2中得到60～194个新鲜固定解历元，期望历元数为1370；各自有效支持下的航向RMSE为4.512°～20.647°。有效率和有效历元误差的排序并不一致。载波相位罗盘实现也在本安装数据中呈现较大误差，说明短基线上的观测质量、天线几何与固定解验证对实际结果具有重要影响。</w:t>
      </w:r>
    </w:p>
    <w:p>
      <w:pPr>
        <w:widowControl/>
      </w:pPr>
      <w:r>
        <w:t>为检查比较物理量的影响，补充分析按名义侧向基线，将欧拉航向转换为投影基线方向。在原有效支持上，两者的差值RMS仅为0.031°～0.044°，外部航向RMSE最多改变约0.0043°。这一差异远小于所观察到的罗盘误差，指向输入质量与安装几何等更主要的解释方向。</w:t>
      </w:r>
    </w:p>
    <w:p>
      <w:pPr>
        <w:widowControl/>
      </w:pPr>
      <w:r>
        <w:t>因子图结果反映了惯性输入连续性的重要性。OiSAM采用一次初始化时，在BY2、BY2H和BY2O分别输出275/275、0/271和55/378个正式状态。按预先确定的惯性连续段分别初始化后，主要动态输出增加到275、267和370个，对应三维位置RMSE约为0.108、0.077和0.065 m。该分段实验采用GNSS1天线点，并将段首先验与动态状态分开统计。Wen与GNC路线提供位置估计，没有自行估计的航向指标。将支持率、初始化和物理输出点与误差并列，可以更准确地理解各路线在实际记录中的表现。</w:t>
      </w:r>
    </w:p>
    <w:p>
      <w:pPr>
        <w:widowControl/>
      </w:pPr>
      <w:r>
        <w:t>显式IMU实际间隔、分段初始化及配套观测处理构成组合敏感性实验。共同支持上，BY2H、BY2O水平RMSE分别由0.068369、0.055648变为0.068056、0.054444 m，支持为58556/58580和72810/76548历元；变化反映整套处理的作用。</w:t>
      </w:r>
    </w:p>
    <w:p>
      <w:pPr>
        <w:pStyle w:val="Heading2"/>
      </w:pPr>
      <w:r>
        <w:t>4.6 附加实测中的长缺测与初始化可用性</w:t>
      </w:r>
    </w:p>
    <w:p>
      <w:pPr>
        <w:widowControl/>
      </w:pPr>
      <w:r>
        <w:t>四段NMB均提供了双固定航向，两个配置完成了全段数值运行。其相邻有效GNSS位置观测之间出现163.0～172.6 s的最长间隔，显著长于前述10～30 s受控失锁。表6显示，时间对齐后的两种配置在这四段中均产生了较大的水平位置误差，完整融合的增益也随序列而变化。完整融合在NMB1～NMB4的航向RMSE分别为3.015°、2.384°、6.870°和0.983°。原始导航输出在缺测中段发生明显位置漂移，GNSS恢复后重新靠近接收机轨迹。</w:t>
      </w:r>
    </w:p>
    <w:p>
      <w:pPr>
        <w:keepNext/>
        <w:widowControl/>
      </w:pPr>
      <w:r>
        <w:rPr>
          <w:b/>
        </w:rPr>
        <w:t>表6 八段附加记录的导航误差与可用性</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569"/>
        <w:gridCol w:w="1569"/>
        <w:gridCol w:w="1569"/>
        <w:gridCol w:w="1569"/>
        <w:gridCol w:w="1569"/>
        <w:gridCol w:w="1569"/>
      </w:tblGrid>
      <w:tr>
        <w:trPr>
          <w:cantSplit/>
          <w:tblHeader/>
        </w:trPr>
        <w:tc>
          <w:tcPr>
            <w:tcW w:type="dxa" w:w="907"/>
            <w:vAlign w:val="center"/>
            <w:shd w:fill="E5E7EB"/>
          </w:tcPr>
          <w:p>
            <w:pPr>
              <w:keepNext/>
              <w:spacing w:line="240" w:lineRule="auto" w:after="80" w:before="80"/>
              <w:jc w:val="left"/>
            </w:pPr>
            <w:r>
              <w:rPr>
                <w:b/>
                <w:sz w:val="19"/>
              </w:rPr>
              <w:t>序列</w:t>
            </w:r>
          </w:p>
        </w:tc>
        <w:tc>
          <w:tcPr>
            <w:tcW w:type="dxa" w:w="1247"/>
            <w:vAlign w:val="center"/>
            <w:shd w:fill="E5E7EB"/>
          </w:tcPr>
          <w:p>
            <w:pPr>
              <w:keepNext/>
              <w:spacing w:line="240" w:lineRule="auto" w:after="80" w:before="80"/>
              <w:jc w:val="center"/>
            </w:pPr>
            <w:r>
              <w:rPr>
                <w:b/>
                <w:sz w:val="19"/>
              </w:rPr>
              <w:t>有效航向历元</w:t>
            </w:r>
          </w:p>
        </w:tc>
        <w:tc>
          <w:tcPr>
            <w:tcW w:type="dxa" w:w="1587"/>
            <w:vAlign w:val="center"/>
            <w:shd w:fill="E5E7EB"/>
          </w:tcPr>
          <w:p>
            <w:pPr>
              <w:keepNext/>
              <w:spacing w:line="240" w:lineRule="auto" w:after="80" w:before="80"/>
              <w:jc w:val="center"/>
            </w:pPr>
            <w:r>
              <w:rPr>
                <w:b/>
                <w:sz w:val="19"/>
              </w:rPr>
              <w:t>最长位置观测间隔（s）</w:t>
            </w:r>
          </w:p>
        </w:tc>
        <w:tc>
          <w:tcPr>
            <w:tcW w:type="dxa" w:w="1814"/>
            <w:vAlign w:val="center"/>
            <w:shd w:fill="E5E7EB"/>
          </w:tcPr>
          <w:p>
            <w:pPr>
              <w:keepNext/>
              <w:spacing w:line="240" w:lineRule="auto" w:after="80" w:before="80"/>
              <w:jc w:val="center"/>
            </w:pPr>
            <w:r>
              <w:rPr>
                <w:b/>
                <w:sz w:val="19"/>
              </w:rPr>
              <w:t>基准水平RMSE（m）</w:t>
            </w:r>
          </w:p>
        </w:tc>
        <w:tc>
          <w:tcPr>
            <w:tcW w:type="dxa" w:w="1814"/>
            <w:vAlign w:val="center"/>
            <w:shd w:fill="E5E7EB"/>
          </w:tcPr>
          <w:p>
            <w:pPr>
              <w:keepNext/>
              <w:spacing w:line="240" w:lineRule="auto" w:after="80" w:before="80"/>
              <w:jc w:val="center"/>
            </w:pPr>
            <w:r>
              <w:rPr>
                <w:b/>
                <w:sz w:val="19"/>
              </w:rPr>
              <w:t>本文水平RMSE（m）</w:t>
            </w:r>
          </w:p>
        </w:tc>
        <w:tc>
          <w:tcPr>
            <w:tcW w:type="dxa" w:w="2041"/>
            <w:vAlign w:val="center"/>
            <w:shd w:fill="E5E7EB"/>
          </w:tcPr>
          <w:p>
            <w:pPr>
              <w:keepNext/>
              <w:spacing w:line="240" w:lineRule="auto" w:after="80" w:before="80"/>
              <w:jc w:val="center"/>
            </w:pPr>
            <w:r>
              <w:rPr>
                <w:b/>
                <w:sz w:val="19"/>
              </w:rPr>
              <w:t>匹配/记录历元</w:t>
            </w:r>
          </w:p>
        </w:tc>
      </w:tr>
      <w:tr>
        <w:trPr>
          <w:cantSplit/>
        </w:trPr>
        <w:tc>
          <w:tcPr>
            <w:tcW w:type="dxa" w:w="907"/>
            <w:vAlign w:val="center"/>
          </w:tcPr>
          <w:p>
            <w:pPr>
              <w:keepNext/>
              <w:spacing w:line="240" w:lineRule="auto" w:after="80" w:before="80"/>
              <w:jc w:val="left"/>
            </w:pPr>
            <w:r>
              <w:rPr>
                <w:b w:val="0"/>
                <w:sz w:val="19"/>
              </w:rPr>
              <w:t>NMB1</w:t>
            </w:r>
          </w:p>
        </w:tc>
        <w:tc>
          <w:tcPr>
            <w:tcW w:type="dxa" w:w="1247"/>
            <w:vAlign w:val="center"/>
          </w:tcPr>
          <w:p>
            <w:pPr>
              <w:keepNext/>
              <w:spacing w:line="240" w:lineRule="auto" w:after="80" w:before="80"/>
              <w:jc w:val="center"/>
            </w:pPr>
            <w:r>
              <w:rPr>
                <w:b w:val="0"/>
                <w:sz w:val="19"/>
              </w:rPr>
              <w:t>771</w:t>
            </w:r>
          </w:p>
        </w:tc>
        <w:tc>
          <w:tcPr>
            <w:tcW w:type="dxa" w:w="1587"/>
            <w:vAlign w:val="center"/>
          </w:tcPr>
          <w:p>
            <w:pPr>
              <w:keepNext/>
              <w:spacing w:line="240" w:lineRule="auto" w:after="80" w:before="80"/>
              <w:jc w:val="center"/>
            </w:pPr>
            <w:r>
              <w:rPr>
                <w:b w:val="0"/>
                <w:sz w:val="19"/>
              </w:rPr>
              <w:t>163.0</w:t>
            </w:r>
          </w:p>
        </w:tc>
        <w:tc>
          <w:tcPr>
            <w:tcW w:type="dxa" w:w="1814"/>
            <w:vAlign w:val="center"/>
          </w:tcPr>
          <w:p>
            <w:pPr>
              <w:keepNext/>
              <w:spacing w:line="240" w:lineRule="auto" w:after="80" w:before="80"/>
              <w:jc w:val="center"/>
            </w:pPr>
            <w:r>
              <w:rPr>
                <w:b w:val="0"/>
                <w:sz w:val="19"/>
              </w:rPr>
              <w:t>1169.4</w:t>
            </w:r>
          </w:p>
        </w:tc>
        <w:tc>
          <w:tcPr>
            <w:tcW w:type="dxa" w:w="1814"/>
            <w:vAlign w:val="center"/>
          </w:tcPr>
          <w:p>
            <w:pPr>
              <w:keepNext/>
              <w:spacing w:line="240" w:lineRule="auto" w:after="80" w:before="80"/>
              <w:jc w:val="center"/>
            </w:pPr>
            <w:r>
              <w:rPr>
                <w:b w:val="0"/>
                <w:sz w:val="19"/>
              </w:rPr>
              <w:t>1647.7</w:t>
            </w:r>
          </w:p>
        </w:tc>
        <w:tc>
          <w:tcPr>
            <w:tcW w:type="dxa" w:w="2041"/>
            <w:vAlign w:val="center"/>
          </w:tcPr>
          <w:p>
            <w:pPr>
              <w:keepNext/>
              <w:spacing w:line="240" w:lineRule="auto" w:after="80" w:before="80"/>
              <w:jc w:val="center"/>
            </w:pPr>
            <w:r>
              <w:rPr>
                <w:b w:val="0"/>
                <w:sz w:val="19"/>
              </w:rPr>
              <w:t>80272/93265</w:t>
            </w:r>
          </w:p>
        </w:tc>
      </w:tr>
      <w:tr>
        <w:trPr>
          <w:cantSplit/>
        </w:trPr>
        <w:tc>
          <w:tcPr>
            <w:tcW w:type="dxa" w:w="907"/>
            <w:vAlign w:val="center"/>
          </w:tcPr>
          <w:p>
            <w:pPr>
              <w:keepNext/>
              <w:spacing w:line="240" w:lineRule="auto" w:after="80" w:before="80"/>
              <w:jc w:val="left"/>
            </w:pPr>
            <w:r>
              <w:rPr>
                <w:b w:val="0"/>
                <w:sz w:val="19"/>
              </w:rPr>
              <w:t>NMB2</w:t>
            </w:r>
          </w:p>
        </w:tc>
        <w:tc>
          <w:tcPr>
            <w:tcW w:type="dxa" w:w="1247"/>
            <w:vAlign w:val="center"/>
          </w:tcPr>
          <w:p>
            <w:pPr>
              <w:keepNext/>
              <w:spacing w:line="240" w:lineRule="auto" w:after="80" w:before="80"/>
              <w:jc w:val="center"/>
            </w:pPr>
            <w:r>
              <w:rPr>
                <w:b w:val="0"/>
                <w:sz w:val="19"/>
              </w:rPr>
              <w:t>750</w:t>
            </w:r>
          </w:p>
        </w:tc>
        <w:tc>
          <w:tcPr>
            <w:tcW w:type="dxa" w:w="1587"/>
            <w:vAlign w:val="center"/>
          </w:tcPr>
          <w:p>
            <w:pPr>
              <w:keepNext/>
              <w:spacing w:line="240" w:lineRule="auto" w:after="80" w:before="80"/>
              <w:jc w:val="center"/>
            </w:pPr>
            <w:r>
              <w:rPr>
                <w:b w:val="0"/>
                <w:sz w:val="19"/>
              </w:rPr>
              <w:t>165.2</w:t>
            </w:r>
          </w:p>
        </w:tc>
        <w:tc>
          <w:tcPr>
            <w:tcW w:type="dxa" w:w="1814"/>
            <w:vAlign w:val="center"/>
          </w:tcPr>
          <w:p>
            <w:pPr>
              <w:keepNext/>
              <w:spacing w:line="240" w:lineRule="auto" w:after="80" w:before="80"/>
              <w:jc w:val="center"/>
            </w:pPr>
            <w:r>
              <w:rPr>
                <w:b w:val="0"/>
                <w:sz w:val="19"/>
              </w:rPr>
              <w:t>674.4</w:t>
            </w:r>
          </w:p>
        </w:tc>
        <w:tc>
          <w:tcPr>
            <w:tcW w:type="dxa" w:w="1814"/>
            <w:vAlign w:val="center"/>
          </w:tcPr>
          <w:p>
            <w:pPr>
              <w:keepNext/>
              <w:spacing w:line="240" w:lineRule="auto" w:after="80" w:before="80"/>
              <w:jc w:val="center"/>
            </w:pPr>
            <w:r>
              <w:rPr>
                <w:b w:val="0"/>
                <w:sz w:val="19"/>
              </w:rPr>
              <w:t>897.3</w:t>
            </w:r>
          </w:p>
        </w:tc>
        <w:tc>
          <w:tcPr>
            <w:tcW w:type="dxa" w:w="2041"/>
            <w:vAlign w:val="center"/>
          </w:tcPr>
          <w:p>
            <w:pPr>
              <w:keepNext/>
              <w:spacing w:line="240" w:lineRule="auto" w:after="80" w:before="80"/>
              <w:jc w:val="center"/>
            </w:pPr>
            <w:r>
              <w:rPr>
                <w:b w:val="0"/>
                <w:sz w:val="19"/>
              </w:rPr>
              <w:t>79907/81810</w:t>
            </w:r>
          </w:p>
        </w:tc>
      </w:tr>
      <w:tr>
        <w:trPr>
          <w:cantSplit/>
        </w:trPr>
        <w:tc>
          <w:tcPr>
            <w:tcW w:type="dxa" w:w="907"/>
            <w:vAlign w:val="center"/>
          </w:tcPr>
          <w:p>
            <w:pPr>
              <w:keepNext/>
              <w:spacing w:line="240" w:lineRule="auto" w:after="80" w:before="80"/>
              <w:jc w:val="left"/>
            </w:pPr>
            <w:r>
              <w:rPr>
                <w:b w:val="0"/>
                <w:sz w:val="19"/>
              </w:rPr>
              <w:t>NMB3</w:t>
            </w:r>
          </w:p>
        </w:tc>
        <w:tc>
          <w:tcPr>
            <w:tcW w:type="dxa" w:w="1247"/>
            <w:vAlign w:val="center"/>
          </w:tcPr>
          <w:p>
            <w:pPr>
              <w:keepNext/>
              <w:spacing w:line="240" w:lineRule="auto" w:after="80" w:before="80"/>
              <w:jc w:val="center"/>
            </w:pPr>
            <w:r>
              <w:rPr>
                <w:b w:val="0"/>
                <w:sz w:val="19"/>
              </w:rPr>
              <w:t>904</w:t>
            </w:r>
          </w:p>
        </w:tc>
        <w:tc>
          <w:tcPr>
            <w:tcW w:type="dxa" w:w="1587"/>
            <w:vAlign w:val="center"/>
          </w:tcPr>
          <w:p>
            <w:pPr>
              <w:keepNext/>
              <w:spacing w:line="240" w:lineRule="auto" w:after="80" w:before="80"/>
              <w:jc w:val="center"/>
            </w:pPr>
            <w:r>
              <w:rPr>
                <w:b w:val="0"/>
                <w:sz w:val="19"/>
              </w:rPr>
              <w:t>165.4</w:t>
            </w:r>
          </w:p>
        </w:tc>
        <w:tc>
          <w:tcPr>
            <w:tcW w:type="dxa" w:w="1814"/>
            <w:vAlign w:val="center"/>
          </w:tcPr>
          <w:p>
            <w:pPr>
              <w:keepNext/>
              <w:spacing w:line="240" w:lineRule="auto" w:after="80" w:before="80"/>
              <w:jc w:val="center"/>
            </w:pPr>
            <w:r>
              <w:rPr>
                <w:b w:val="0"/>
                <w:sz w:val="19"/>
              </w:rPr>
              <w:t>11047.0</w:t>
            </w:r>
          </w:p>
        </w:tc>
        <w:tc>
          <w:tcPr>
            <w:tcW w:type="dxa" w:w="1814"/>
            <w:vAlign w:val="center"/>
          </w:tcPr>
          <w:p>
            <w:pPr>
              <w:keepNext/>
              <w:spacing w:line="240" w:lineRule="auto" w:after="80" w:before="80"/>
              <w:jc w:val="center"/>
            </w:pPr>
            <w:r>
              <w:rPr>
                <w:b w:val="0"/>
                <w:sz w:val="19"/>
              </w:rPr>
              <w:t>10265.4</w:t>
            </w:r>
          </w:p>
        </w:tc>
        <w:tc>
          <w:tcPr>
            <w:tcW w:type="dxa" w:w="2041"/>
            <w:vAlign w:val="center"/>
          </w:tcPr>
          <w:p>
            <w:pPr>
              <w:keepNext/>
              <w:spacing w:line="240" w:lineRule="auto" w:after="80" w:before="80"/>
              <w:jc w:val="center"/>
            </w:pPr>
            <w:r>
              <w:rPr>
                <w:b w:val="0"/>
                <w:sz w:val="19"/>
              </w:rPr>
              <w:t>80929/81950</w:t>
            </w:r>
          </w:p>
        </w:tc>
      </w:tr>
      <w:tr>
        <w:trPr>
          <w:cantSplit/>
        </w:trPr>
        <w:tc>
          <w:tcPr>
            <w:tcW w:type="dxa" w:w="907"/>
            <w:vAlign w:val="center"/>
          </w:tcPr>
          <w:p>
            <w:pPr>
              <w:keepNext/>
              <w:spacing w:line="240" w:lineRule="auto" w:after="80" w:before="80"/>
              <w:jc w:val="left"/>
            </w:pPr>
            <w:r>
              <w:rPr>
                <w:b w:val="0"/>
                <w:sz w:val="19"/>
              </w:rPr>
              <w:t>NMB4</w:t>
            </w:r>
          </w:p>
        </w:tc>
        <w:tc>
          <w:tcPr>
            <w:tcW w:type="dxa" w:w="1247"/>
            <w:vAlign w:val="center"/>
          </w:tcPr>
          <w:p>
            <w:pPr>
              <w:keepNext/>
              <w:spacing w:line="240" w:lineRule="auto" w:after="80" w:before="80"/>
              <w:jc w:val="center"/>
            </w:pPr>
            <w:r>
              <w:rPr>
                <w:b w:val="0"/>
                <w:sz w:val="19"/>
              </w:rPr>
              <w:t>697</w:t>
            </w:r>
          </w:p>
        </w:tc>
        <w:tc>
          <w:tcPr>
            <w:tcW w:type="dxa" w:w="1587"/>
            <w:vAlign w:val="center"/>
          </w:tcPr>
          <w:p>
            <w:pPr>
              <w:keepNext/>
              <w:spacing w:line="240" w:lineRule="auto" w:after="80" w:before="80"/>
              <w:jc w:val="center"/>
            </w:pPr>
            <w:r>
              <w:rPr>
                <w:b w:val="0"/>
                <w:sz w:val="19"/>
              </w:rPr>
              <w:t>172.6</w:t>
            </w:r>
          </w:p>
        </w:tc>
        <w:tc>
          <w:tcPr>
            <w:tcW w:type="dxa" w:w="1814"/>
            <w:vAlign w:val="center"/>
          </w:tcPr>
          <w:p>
            <w:pPr>
              <w:keepNext/>
              <w:spacing w:line="240" w:lineRule="auto" w:after="80" w:before="80"/>
              <w:jc w:val="center"/>
            </w:pPr>
            <w:r>
              <w:rPr>
                <w:b w:val="0"/>
                <w:sz w:val="19"/>
              </w:rPr>
              <w:t>1130.0</w:t>
            </w:r>
          </w:p>
        </w:tc>
        <w:tc>
          <w:tcPr>
            <w:tcW w:type="dxa" w:w="1814"/>
            <w:vAlign w:val="center"/>
          </w:tcPr>
          <w:p>
            <w:pPr>
              <w:keepNext/>
              <w:spacing w:line="240" w:lineRule="auto" w:after="80" w:before="80"/>
              <w:jc w:val="center"/>
            </w:pPr>
            <w:r>
              <w:rPr>
                <w:b w:val="0"/>
                <w:sz w:val="19"/>
              </w:rPr>
              <w:t>955.3</w:t>
            </w:r>
          </w:p>
        </w:tc>
        <w:tc>
          <w:tcPr>
            <w:tcW w:type="dxa" w:w="2041"/>
            <w:vAlign w:val="center"/>
          </w:tcPr>
          <w:p>
            <w:pPr>
              <w:keepNext/>
              <w:spacing w:line="240" w:lineRule="auto" w:after="80" w:before="80"/>
              <w:jc w:val="center"/>
            </w:pPr>
            <w:r>
              <w:rPr>
                <w:b w:val="0"/>
                <w:sz w:val="19"/>
              </w:rPr>
              <w:t>77588/78609</w:t>
            </w:r>
          </w:p>
        </w:tc>
      </w:tr>
      <w:tr>
        <w:trPr>
          <w:cantSplit/>
        </w:trPr>
        <w:tc>
          <w:tcPr>
            <w:tcW w:type="dxa" w:w="907"/>
            <w:vAlign w:val="center"/>
          </w:tcPr>
          <w:p>
            <w:pPr>
              <w:keepNext/>
              <w:spacing w:line="240" w:lineRule="auto" w:after="80" w:before="80"/>
              <w:jc w:val="left"/>
            </w:pPr>
            <w:r>
              <w:rPr>
                <w:b w:val="0"/>
                <w:sz w:val="19"/>
              </w:rPr>
              <w:t>XB1</w:t>
            </w:r>
          </w:p>
        </w:tc>
        <w:tc>
          <w:tcPr>
            <w:tcW w:type="dxa" w:w="1247"/>
            <w:vAlign w:val="center"/>
          </w:tcPr>
          <w:p>
            <w:pPr>
              <w:keepNext/>
              <w:spacing w:line="240" w:lineRule="auto" w:after="80" w:before="80"/>
              <w:jc w:val="center"/>
            </w:pPr>
            <w:r>
              <w:rPr>
                <w:b w:val="0"/>
                <w:sz w:val="19"/>
              </w:rPr>
              <w:t>0</w:t>
            </w:r>
          </w:p>
        </w:tc>
        <w:tc>
          <w:tcPr>
            <w:tcW w:type="dxa" w:w="1587"/>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2041"/>
            <w:vAlign w:val="center"/>
          </w:tcPr>
          <w:p>
            <w:pPr>
              <w:keepNext/>
              <w:spacing w:line="240" w:lineRule="auto" w:after="80" w:before="80"/>
              <w:jc w:val="center"/>
            </w:pPr>
            <w:r>
              <w:rPr>
                <w:b w:val="0"/>
                <w:sz w:val="19"/>
              </w:rPr>
              <w:t>0/91751</w:t>
            </w:r>
          </w:p>
        </w:tc>
      </w:tr>
      <w:tr>
        <w:trPr>
          <w:cantSplit/>
        </w:trPr>
        <w:tc>
          <w:tcPr>
            <w:tcW w:type="dxa" w:w="907"/>
            <w:vAlign w:val="center"/>
          </w:tcPr>
          <w:p>
            <w:pPr>
              <w:keepNext/>
              <w:spacing w:line="240" w:lineRule="auto" w:after="80" w:before="80"/>
              <w:jc w:val="left"/>
            </w:pPr>
            <w:r>
              <w:rPr>
                <w:b w:val="0"/>
                <w:sz w:val="19"/>
              </w:rPr>
              <w:t>XB2</w:t>
            </w:r>
          </w:p>
        </w:tc>
        <w:tc>
          <w:tcPr>
            <w:tcW w:type="dxa" w:w="1247"/>
            <w:vAlign w:val="center"/>
          </w:tcPr>
          <w:p>
            <w:pPr>
              <w:keepNext/>
              <w:spacing w:line="240" w:lineRule="auto" w:after="80" w:before="80"/>
              <w:jc w:val="center"/>
            </w:pPr>
            <w:r>
              <w:rPr>
                <w:b w:val="0"/>
                <w:sz w:val="19"/>
              </w:rPr>
              <w:t>0</w:t>
            </w:r>
          </w:p>
        </w:tc>
        <w:tc>
          <w:tcPr>
            <w:tcW w:type="dxa" w:w="1587"/>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2041"/>
            <w:vAlign w:val="center"/>
          </w:tcPr>
          <w:p>
            <w:pPr>
              <w:keepNext/>
              <w:spacing w:line="240" w:lineRule="auto" w:after="80" w:before="80"/>
              <w:jc w:val="center"/>
            </w:pPr>
            <w:r>
              <w:rPr>
                <w:b w:val="0"/>
                <w:sz w:val="19"/>
              </w:rPr>
              <w:t>0/84434</w:t>
            </w:r>
          </w:p>
        </w:tc>
      </w:tr>
      <w:tr>
        <w:trPr>
          <w:cantSplit/>
        </w:trPr>
        <w:tc>
          <w:tcPr>
            <w:tcW w:type="dxa" w:w="907"/>
            <w:vAlign w:val="center"/>
          </w:tcPr>
          <w:p>
            <w:pPr>
              <w:keepNext/>
              <w:spacing w:line="240" w:lineRule="auto" w:after="80" w:before="80"/>
              <w:jc w:val="left"/>
            </w:pPr>
            <w:r>
              <w:rPr>
                <w:b w:val="0"/>
                <w:sz w:val="19"/>
              </w:rPr>
              <w:t>XB3</w:t>
            </w:r>
          </w:p>
        </w:tc>
        <w:tc>
          <w:tcPr>
            <w:tcW w:type="dxa" w:w="1247"/>
            <w:vAlign w:val="center"/>
          </w:tcPr>
          <w:p>
            <w:pPr>
              <w:keepNext/>
              <w:spacing w:line="240" w:lineRule="auto" w:after="80" w:before="80"/>
              <w:jc w:val="center"/>
            </w:pPr>
            <w:r>
              <w:rPr>
                <w:b w:val="0"/>
                <w:sz w:val="19"/>
              </w:rPr>
              <w:t>0</w:t>
            </w:r>
          </w:p>
        </w:tc>
        <w:tc>
          <w:tcPr>
            <w:tcW w:type="dxa" w:w="1587"/>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2041"/>
            <w:vAlign w:val="center"/>
          </w:tcPr>
          <w:p>
            <w:pPr>
              <w:keepNext/>
              <w:spacing w:line="240" w:lineRule="auto" w:after="80" w:before="80"/>
              <w:jc w:val="center"/>
            </w:pPr>
            <w:r>
              <w:rPr>
                <w:b w:val="0"/>
                <w:sz w:val="19"/>
              </w:rPr>
              <w:t>0/80304</w:t>
            </w:r>
          </w:p>
        </w:tc>
      </w:tr>
      <w:tr>
        <w:trPr>
          <w:cantSplit/>
        </w:trPr>
        <w:tc>
          <w:tcPr>
            <w:tcW w:type="dxa" w:w="907"/>
            <w:vAlign w:val="center"/>
          </w:tcPr>
          <w:p>
            <w:pPr>
              <w:keepNext w:val="0"/>
              <w:spacing w:line="240" w:lineRule="auto" w:after="80" w:before="80"/>
              <w:jc w:val="left"/>
            </w:pPr>
            <w:r>
              <w:rPr>
                <w:b w:val="0"/>
                <w:sz w:val="19"/>
              </w:rPr>
              <w:t>XB4</w:t>
            </w:r>
          </w:p>
        </w:tc>
        <w:tc>
          <w:tcPr>
            <w:tcW w:type="dxa" w:w="1247"/>
            <w:vAlign w:val="center"/>
          </w:tcPr>
          <w:p>
            <w:pPr>
              <w:keepNext w:val="0"/>
              <w:spacing w:line="240" w:lineRule="auto" w:after="80" w:before="80"/>
              <w:jc w:val="center"/>
            </w:pPr>
            <w:r>
              <w:rPr>
                <w:b w:val="0"/>
                <w:sz w:val="19"/>
              </w:rPr>
              <w:t>0</w:t>
            </w:r>
          </w:p>
        </w:tc>
        <w:tc>
          <w:tcPr>
            <w:tcW w:type="dxa" w:w="1587"/>
            <w:vAlign w:val="center"/>
          </w:tcPr>
          <w:p>
            <w:pPr>
              <w:keepNext w:val="0"/>
              <w:spacing w:line="240" w:lineRule="auto" w:after="80" w:before="80"/>
              <w:jc w:val="center"/>
            </w:pPr>
            <w:r>
              <w:rPr>
                <w:b w:val="0"/>
                <w:sz w:val="19"/>
              </w:rPr>
              <w:t>—</w:t>
            </w:r>
          </w:p>
        </w:tc>
        <w:tc>
          <w:tcPr>
            <w:tcW w:type="dxa" w:w="1814"/>
            <w:vAlign w:val="center"/>
          </w:tcPr>
          <w:p>
            <w:pPr>
              <w:keepNext w:val="0"/>
              <w:spacing w:line="240" w:lineRule="auto" w:after="80" w:before="80"/>
              <w:jc w:val="center"/>
            </w:pPr>
            <w:r>
              <w:rPr>
                <w:b w:val="0"/>
                <w:sz w:val="19"/>
              </w:rPr>
              <w:t>—</w:t>
            </w:r>
          </w:p>
        </w:tc>
        <w:tc>
          <w:tcPr>
            <w:tcW w:type="dxa" w:w="1814"/>
            <w:vAlign w:val="center"/>
          </w:tcPr>
          <w:p>
            <w:pPr>
              <w:keepNext w:val="0"/>
              <w:spacing w:line="240" w:lineRule="auto" w:after="80" w:before="80"/>
              <w:jc w:val="center"/>
            </w:pPr>
            <w:r>
              <w:rPr>
                <w:b w:val="0"/>
                <w:sz w:val="19"/>
              </w:rPr>
              <w:t>—</w:t>
            </w:r>
          </w:p>
        </w:tc>
        <w:tc>
          <w:tcPr>
            <w:tcW w:type="dxa" w:w="2041"/>
            <w:vAlign w:val="center"/>
          </w:tcPr>
          <w:p>
            <w:pPr>
              <w:keepNext w:val="0"/>
              <w:spacing w:line="240" w:lineRule="auto" w:after="80" w:before="80"/>
              <w:jc w:val="center"/>
            </w:pPr>
            <w:r>
              <w:rPr>
                <w:b w:val="0"/>
                <w:sz w:val="19"/>
              </w:rPr>
              <w:t>0/79736</w:t>
            </w:r>
          </w:p>
        </w:tc>
      </w:tr>
    </w:tbl>
    <w:p>
      <w:pPr>
        <w:widowControl/>
      </w:pPr>
      <w:r>
        <w:t>基准采用航向质量控制与接收机速度，航向历元数统计完整接收机记录。匹配数为两个配置共同的评价支持，分母为该段实际机身记录历元。XB1～XB4均没有双接收机同时固定的航向观测，两个配置均无法按既定规则初始化，因此以零输出保留在表中。</w:t>
      </w:r>
    </w:p>
    <w:p>
      <w:pPr>
        <w:widowControl/>
      </w:pPr>
      <w:r>
        <w:t>这一组实测补充了受控失锁之外的工作条件：约三分钟的有效GNSS观测中断会使惯性传播误差大量积累，而当前机身辅助仍依赖有效GNSS更新事件。短基线方向恢复和位置更新可以重新约束状态，但不能消除已经发生的中断期间漂移。</w:t>
      </w:r>
    </w:p>
    <w:p>
      <w:pPr>
        <w:pStyle w:val="Heading1"/>
      </w:pPr>
      <w:r>
        <w:t>5 讨论</w:t>
      </w:r>
    </w:p>
    <w:p>
      <w:pPr>
        <w:widowControl/>
      </w:pPr>
      <w:r>
        <w:t>各项观测在完整系统中承担不同作用。短基线航向直接补充低速和非前进运动中的方向信息，是自然序列航向改善的主要来源；机身倾角对横滚、俯仰提供稳定约束；水平速度在普通案例中的中位增益较小，却能在保留航向的平移失锁中大幅降低漂移。因而，多源融合的价值不仅体现在观测数量，也体现在每一来源对状态的约束方向和进入滤波器的条件。</w:t>
      </w:r>
    </w:p>
    <w:p>
      <w:pPr>
        <w:widowControl/>
      </w:pPr>
      <w:r>
        <w:t>两类失锁结果揭示了速度冗余的具体含义。机身速度对接收机平移观测提供补充，但其导航系表达依赖航向，实际调度也依赖有效GNSS事件。失去平移观测与失去全部方向、位置和速度信息，是不同的工作条件。保持独立姿态来源或接触运动学并设置独立调度入口，可以进一步扩展辅助作用，但本文结果首先给出了当前系统中保留方向信息时的明确收益。</w:t>
      </w:r>
    </w:p>
    <w:p>
      <w:pPr>
        <w:widowControl/>
      </w:pPr>
      <w:r>
        <w:t>协方差膨胀表现为完成率与普通场景误差的权衡。降低冲突观测的影响，可减小异常修正引起的发散风险，同时增加对惯性传播的依赖。本实验增加六个完成案例，却使共同完成案例的典型水平误差略增。这一结果提示，设计观测权重时应同时观察严重故障、常规误差和各姿态分量，而非只依据某一指标选择参数。</w:t>
      </w:r>
    </w:p>
    <w:p>
      <w:pPr>
        <w:widowControl/>
      </w:pPr>
      <w:r>
        <w:t>本研究包含三个主评价序列、受控扰动及八段附加记录的可用性与迁移评价。所得到的典型收益和故障差异，为这类紧凑平台在不同观测可用条件下选择融合配置提供了依据。</w:t>
      </w:r>
    </w:p>
    <w:p>
      <w:pPr>
        <w:pStyle w:val="Heading1"/>
      </w:pPr>
      <w:r>
        <w:t>6 结论</w:t>
      </w:r>
    </w:p>
    <w:p>
      <w:pPr>
        <w:widowControl/>
      </w:pPr>
      <w:r>
        <w:t>本文构建并评价了融合短基线航向和机身运动信息的四足机器人GNSS/INS方法。三个实测序列的水平位置RMSE低于0.10 m，航向RMSE为1.886°～2.434°。成对消融显示，机身倾角稳定改善横滚与俯仰，多普勒提供较小的典型增益，协方差膨胀提高部分严重扰动案例的完成率。机身水平速度在保留航向的GNSS位置与速度失锁中具有最明显的位置收益，完全GNSS失锁则受到坐标转换和调度依赖的限制。附加实测中的长缺测漂移和无初始航向情况进一步给出了失效边界。结果说明了紧凑四足机器人利用已有导航与机身信息的融合方式及其关键工作条件。</w:t>
      </w:r>
    </w:p>
    <w:p>
      <w:pPr>
        <w:pStyle w:val="Heading1"/>
      </w:pPr>
      <w:r>
        <w:t>参考文献</w:t>
      </w:r>
    </w:p>
    <w:p>
      <w:pPr>
        <w:widowControl/>
      </w:pPr>
      <w:r>
        <w:t>Chang Y, Wang Y, Shen Y, Ji C（2021）A new fuzzy strong tracking cubature Kalman filter for INS/GNSS. GPS Solutions 25:120. https://doi.org/10.1007/s10291-021-01148-5</w:t>
      </w:r>
    </w:p>
    <w:p>
      <w:pPr>
        <w:widowControl/>
      </w:pPr>
      <w:r>
        <w:t>Fixposition（2024）Vision RTK 2 Quick Start Guide，Version 2024.05。https://docs.fixposition.com/fd/</w:t>
      </w:r>
    </w:p>
    <w:p>
      <w:pPr>
        <w:widowControl/>
      </w:pPr>
      <w:r>
        <w:t>Hartley R, Ghaffari M, Eustice RM, Grizzle JW（2020）Contact-aided invariant extended Kalman filtering for robot state estimation. International Journal of Robotics Research 39:402–430. https://doi.org/10.1177/0278364919894385</w:t>
      </w:r>
    </w:p>
    <w:p>
      <w:pPr>
        <w:widowControl/>
      </w:pPr>
      <w:r>
        <w:t>Jiang C, Zhang S, Li H, Li Z（2021）Performance evaluation of the filters with adaptive factor and fading factor for GNSS/INS integrated systems. GPS Solutions 25:130. https://doi.org/10.1007/s10291-021-01165-4</w:t>
      </w:r>
    </w:p>
    <w:p>
      <w:pPr>
        <w:widowControl/>
      </w:pPr>
      <w:r>
        <w:t>Liu X, Ballal T, Chen H, Al-Naffouri TY（2022）Constrained Wrapped Least Squares: A Tool for High-Accuracy GNSS Attitude Determination. IEEE Transactions on Instrumentation and Measurement 71:8005315. https://doi.org/10.1109/TIM.2022.3193412</w:t>
      </w:r>
    </w:p>
    <w:p>
      <w:pPr>
        <w:widowControl/>
      </w:pPr>
      <w:r>
        <w:t>Pavlasek N, Walsh A, Forbes JR（2021）Invariant Extended Kalman Filtering Using Two Position Receivers for Extended Pose Estimation. Proceedings of the IEEE International Conference on Robotics and Automation, pp 5582–5588. https://doi.org/10.1109/ICRA48506.2021.9561150</w:t>
      </w:r>
    </w:p>
    <w:p>
      <w:pPr>
        <w:widowControl/>
      </w:pPr>
      <w:r>
        <w:t>Solà J（2017）Quaternion kinematics for the error-state Kalman filter. arXiv:1711.02508. https://arxiv.org/abs/1711.02508</w:t>
      </w:r>
    </w:p>
    <w:p>
      <w:pPr>
        <w:widowControl/>
      </w:pPr>
      <w:r>
        <w:t>Teunissen PJG（2010）Integer least-squares theory for the GNSS compass. Journal of Geodesy 84:433–447. https://doi.org/10.1007/s00190-010-0380-8</w:t>
      </w:r>
    </w:p>
    <w:p>
      <w:pPr>
        <w:widowControl/>
      </w:pPr>
      <w:r>
        <w:t>Unitree Robotics（2026）Public Go2 interfaces and nominal model descriptions. https://github.com/unitreerobotics/unitree_sdk2 https://github.com/unitreerobotics/unitree_ros</w:t>
      </w:r>
    </w:p>
    <w:p>
      <w:pPr>
        <w:widowControl/>
      </w:pPr>
      <w:r>
        <w:t>Wang D, Dong Y, Li Z, Li Q, Wu J（2020）Constrained MEMS-Based GNSS/INS Tightly Coupled System With Robust Kalman Filter for Accurate Land Vehicular Navigation. IEEE Transactions on Instrumentation and Measurement 69(7):5138–5148. https://doi.org/10.1109/TIM.2019.2955798</w:t>
      </w:r>
    </w:p>
    <w:p>
      <w:pPr>
        <w:widowControl/>
      </w:pPr>
      <w:r>
        <w:t>Wen W, Pfeifer T, Bai X, Hsu L-T（2021）Factor graph optimization for GNSS/INS integration: A comparison with the extended Kalman filter. NAVIGATION 68(2):315–331. https://doi.org/10.1002/navi.421</w:t>
      </w:r>
    </w:p>
    <w:p>
      <w:pPr>
        <w:widowControl/>
      </w:pPr>
      <w:r>
        <w:t>Wen W, Zhang G, Hsu L-T（2022）GNSS Outlier Mitigation via Graduated Non-Convexity Factor Graph Optimization. IEEE Transactions on Vehicular Technology 71(1):297–310. https://doi.org/10.1109/TVT.2021.3130909</w:t>
      </w:r>
    </w:p>
    <w:p>
      <w:pPr>
        <w:widowControl/>
      </w:pPr>
      <w:r>
        <w:t>Yang Z, Ding X, Yang Y, Wang Q（2025）OiSAM-FGO: an efficient factor graph optimization algorithm for GNSS/INS integrated navigation system. Satellite Navigation 6:23. https://doi.org/10.1186/s43020-025-00173-w</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Times New Roman" w:hAnsi="Times New Roman" w:eastAsia="SimSu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outlineLvl w:val="0"/>
    </w:pPr>
    <w:rPr>
      <w:rFonts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outlineLvl w:val="1"/>
    </w:pPr>
    <w:rPr>
      <w:rFonts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outlineLvl w:val="2"/>
    </w:pPr>
    <w:rPr>
      <w:rFonts w:ascii="Times New Roman" w:hAnsi="Times New Roman" w:eastAsia="SimSu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360" w:lineRule="auto"/>
      <w:contextualSpacing/>
    </w:pPr>
    <w:rPr>
      <w:rFonts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360" w:lineRule="auto"/>
    </w:pPr>
    <w:rPr>
      <w:rFonts w:ascii="Times New Roman" w:hAnsi="Times New Roman" w:eastAsia="SimSu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00"/>
    </w:pPr>
    <w:rPr>
      <w:rFonts w:ascii="Times New Roman" w:hAnsi="Times New Roman" w:eastAsia="SimSu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融合短基线航向与机身运动信息的四足机器人GNSS/INS组合导航</dc:title>
  <dc:subject>New manuscript text draft with editable equations and table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