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6096AB">
      <w:pPr>
        <w:spacing w:before="1584"/>
        <w:jc w:val="center"/>
      </w:pPr>
      <w:r>
        <w:rPr>
          <w:rFonts w:ascii="Times New Roman" w:hAnsi="Times New Roman"/>
          <w:b/>
          <w:sz w:val="32"/>
        </w:rPr>
        <w:t>ACADEMIC PERFORMANCE AND EQUITY</w:t>
      </w:r>
      <w:r>
        <w:rPr>
          <w:rFonts w:ascii="Times New Roman" w:hAnsi="Times New Roman"/>
          <w:b/>
          <w:sz w:val="32"/>
        </w:rPr>
        <w:br w:type="textWrapping"/>
      </w:r>
      <w:r>
        <w:rPr>
          <w:rFonts w:ascii="Times New Roman" w:hAnsi="Times New Roman"/>
          <w:b/>
          <w:sz w:val="32"/>
        </w:rPr>
        <w:t>AMONG ENGINEERING STUDENTS</w:t>
      </w:r>
    </w:p>
    <w:p w14:paraId="5A57E453">
      <w:pPr>
        <w:spacing w:before="504" w:line="360" w:lineRule="auto"/>
        <w:jc w:val="center"/>
      </w:pPr>
      <w:r>
        <w:rPr>
          <w:b/>
          <w:sz w:val="28"/>
        </w:rPr>
        <w:t>Case Study Report</w:t>
      </w:r>
    </w:p>
    <w:p w14:paraId="397EE965"/>
    <w:p w14:paraId="0A5EDCC8"/>
    <w:p w14:paraId="42B70B28"/>
    <w:p w14:paraId="2F7BD09F"/>
    <w:p w14:paraId="6A590B9F"/>
    <w:p w14:paraId="08FDB994">
      <w:pPr>
        <w:spacing w:line="360" w:lineRule="auto"/>
        <w:jc w:val="center"/>
      </w:pPr>
      <w:r>
        <w:rPr>
          <w:b/>
        </w:rPr>
        <w:t xml:space="preserve">Student: </w:t>
      </w:r>
      <w:r>
        <w:t>Kai Xing</w:t>
      </w:r>
    </w:p>
    <w:p w14:paraId="2F6C37A7">
      <w:pPr>
        <w:spacing w:line="360" w:lineRule="auto"/>
        <w:jc w:val="center"/>
      </w:pPr>
      <w:r>
        <w:rPr>
          <w:b/>
        </w:rPr>
        <w:t xml:space="preserve">Role: </w:t>
      </w:r>
      <w:r>
        <w:t>Analyst for the Department of Education</w:t>
      </w:r>
    </w:p>
    <w:p w14:paraId="3DA88E40">
      <w:pPr>
        <w:spacing w:line="360" w:lineRule="auto"/>
        <w:jc w:val="center"/>
      </w:pPr>
      <w:r>
        <w:rPr>
          <w:b/>
        </w:rPr>
        <w:t xml:space="preserve">Data Source: </w:t>
      </w:r>
      <w:r>
        <w:t>Academic Performance Evolution for Engineering Students</w:t>
      </w:r>
    </w:p>
    <w:p w14:paraId="4F0D7AB0">
      <w:pPr>
        <w:spacing w:line="360" w:lineRule="auto"/>
        <w:jc w:val="center"/>
      </w:pPr>
      <w:r>
        <w:rPr>
          <w:b/>
        </w:rPr>
        <w:t xml:space="preserve">Date of Submission: </w:t>
      </w:r>
      <w:r>
        <w:t>September 28, 2026</w:t>
      </w:r>
    </w:p>
    <w:p w14:paraId="79868CF8">
      <w:r>
        <w:br w:type="page"/>
      </w:r>
    </w:p>
    <w:p w14:paraId="6A6C52D0">
      <w:pPr>
        <w:pStyle w:val="3"/>
        <w:keepNext/>
      </w:pPr>
      <w:r>
        <w:t>Executive Summary</w:t>
      </w:r>
    </w:p>
    <w:p w14:paraId="0781D603">
      <w:r>
        <w:t>This case study examines academic performance for 12,411 engineering students using linked records from the final year of high school and the final year of an engineering degree. The main outcome is the higher-education global assessment score (G_SC). The analysis focuses on parental education, socioeconomic stratum, gender, academic program, and selected resource indicators. The dataset was originally compiled from Colombian educational assessment records and is documented by De La Hoz (2020).</w:t>
      </w:r>
    </w:p>
    <w:p w14:paraId="1B1ACFE1">
      <w:r>
        <w:t>The strongest descriptive pattern is socioeconomic. Mean G_SC rises from 152.35 in Stratum 1 to 181.51 in Stratum 6, a gap of 29.16 points. A one-way analysis of variance indicates that stratum is associated with about 10.3 percent of observed variation in G_SC. Parental education also has a clear gradient. Students whose mothers have postgraduate education average 175.64, compared with 158.47 among students whose mothers completed secondary education. Maternal and paternal education are each associated with roughly 7.5 to 7.7 percent of G_SC variation in separate one-way comparisons.</w:t>
      </w:r>
    </w:p>
    <w:p w14:paraId="21AADC30">
      <w:r>
        <w:t>Gender differences in the global score are much smaller. Male students average 163.69 and female students average 161.28, a 2.41-point difference. The standardized difference is small (Cohen's d = 0.105). Component scores show a more useful pattern: male students average higher on quantitative reasoning, while female students average higher on written communication. Other resource indicators show sizable gaps. Students with internet access average 164.92, compared with 154.62 among students without internet access. Students from private high schools average 168.22, compared with 156.53 for students from public high schools.</w:t>
      </w:r>
    </w:p>
    <w:p w14:paraId="6418EF24">
      <w:r>
        <w:t>The preferred policy direction is a targeted equity and skill-specific support strategy. Resources should prioritize students from lower-resource backgrounds while academic support should respond to measured skill needs rather than broad demographic labels. Parental education should be used only as a group-level risk indicator. Program comparisons should be adjusted for prior achievement and student background before they are used to evaluate program quality.</w:t>
      </w:r>
    </w:p>
    <w:p w14:paraId="0F1F896C">
      <w:pPr>
        <w:pStyle w:val="3"/>
        <w:keepNext/>
      </w:pPr>
      <w:r>
        <w:t>Introduction</w:t>
      </w:r>
    </w:p>
    <w:p w14:paraId="577ABAF9">
      <w:r>
        <w:t>The Department of Education requested an analysis of engineering students' academic performance to identify meaningful differences across social and educational groups and to support recommendations for student programs. The data contain high-school assessment measures in mathematics, critical reading, citizenship competencies, biology, and English, together with higher-education assessment measures in quantitative reasoning, critical reading, citizenship competencies, written communication, English, engineering projects, and an overall global score. The file also contains demographic, family, socioeconomic, institutional, and program information (De La Hoz).</w:t>
      </w:r>
    </w:p>
    <w:p w14:paraId="60AE3BFD">
      <w:r>
        <w:t>The central questions are whether parental education is related to outcomes, which socioeconomic strata perform best, how gender groups perform on the global assessment, and what policy recommendations follow from the observed patterns. This report treats G_SC as the primary outcome because it summarizes performance at the end of the professional engineering program. Descriptive statistics and group comparisons are supplemented by effect-size measures to distinguish statistically detectable differences from practically meaningful ones.</w:t>
      </w:r>
    </w:p>
    <w:p w14:paraId="5AA81ABF">
      <w:r>
        <w:t>The report follows the supplied case study format. Summary findings appear in the body, while detailed descriptive statistics and selected Python code are included in the appendices. Because the data are observational, the analysis uses the language of association rather than causation.</w:t>
      </w:r>
    </w:p>
    <w:p w14:paraId="5A645068">
      <w:pPr>
        <w:pStyle w:val="3"/>
        <w:keepNext/>
      </w:pPr>
      <w:r>
        <w:t>Body</w:t>
      </w:r>
    </w:p>
    <w:p w14:paraId="5425EF06">
      <w:pPr>
        <w:pStyle w:val="4"/>
        <w:keepNext/>
      </w:pPr>
      <w:r>
        <w:t>Key Issues, Goals, and Problems</w:t>
      </w:r>
    </w:p>
    <w:p w14:paraId="34474542">
      <w:r>
        <w:t>The main policy problem is not simply whether groups have different average scores. The more important question is which differences are large enough, consistent enough, and actionable enough to guide education policy. A statistically significant gap can still be too small to justify a broad intervention, while a larger socioeconomic gradient may point to barriers that deserve more attention.</w:t>
      </w:r>
    </w:p>
    <w:p w14:paraId="4D751585">
      <w:pPr>
        <w:pStyle w:val="16"/>
        <w:spacing w:line="480" w:lineRule="auto"/>
        <w:ind w:left="360" w:hanging="216"/>
      </w:pPr>
      <w:r>
        <w:t>Measure the size and direction of performance differences associated with parental education and socioeconomic stratum.</w:t>
      </w:r>
    </w:p>
    <w:p w14:paraId="15AB9D17">
      <w:pPr>
        <w:pStyle w:val="16"/>
        <w:spacing w:line="480" w:lineRule="auto"/>
        <w:ind w:left="360" w:hanging="216"/>
      </w:pPr>
      <w:r>
        <w:t>Separate small global gender differences from larger differences in specific skill domains.</w:t>
      </w:r>
    </w:p>
    <w:p w14:paraId="051CCD77">
      <w:pPr>
        <w:pStyle w:val="16"/>
        <w:spacing w:line="480" w:lineRule="auto"/>
        <w:ind w:left="360" w:hanging="216"/>
      </w:pPr>
      <w:r>
        <w:t>Identify resource-related indicators, such as internet access and household revenue, that may help locate groups facing structural disadvantage.</w:t>
      </w:r>
    </w:p>
    <w:p w14:paraId="681209EF">
      <w:pPr>
        <w:pStyle w:val="16"/>
        <w:spacing w:line="480" w:lineRule="auto"/>
        <w:ind w:left="360" w:hanging="216"/>
      </w:pPr>
      <w:r>
        <w:t>Avoid interpreting raw program averages as direct evidence of program quality when student composition differs across programs.</w:t>
      </w:r>
    </w:p>
    <w:p w14:paraId="07089795">
      <w:pPr>
        <w:pStyle w:val="4"/>
        <w:keepNext/>
      </w:pPr>
      <w:r>
        <w:t>Decision Criteria</w:t>
      </w:r>
    </w:p>
    <w:p w14:paraId="7185DF36">
      <w:r>
        <w:t>Recommendations are evaluated using five criteria. First, the size of the observed gap should be large enough to matter in practice. Second, the pattern should be consistent across ordered categories when an ordered relationship is expected. Third, the finding should be actionable through education policy or student support. Fourth, the recommendation should avoid labeling individuals on the basis of group averages. Fifth, the evidence should be interpreted within the limits of an observational dataset.</w:t>
      </w:r>
    </w:p>
    <w:p w14:paraId="1A1CEDE0">
      <w:pPr>
        <w:pStyle w:val="4"/>
        <w:keepNext/>
      </w:pPr>
      <w:r>
        <w:t>Assumptions</w:t>
      </w:r>
    </w:p>
    <w:p w14:paraId="0B2EF2CB">
      <w:pPr>
        <w:ind w:firstLine="720"/>
      </w:pPr>
      <w:r>
        <w:t>The analysis assumes that G_SC is the appropriate summary measure of higher-education academic performance and that the category labels in the source workbook are meaningful as documented. Records coded as 0 or “Not sure” are excluded from ordered parental-education and stratum comparisons where those values do not represent a usable educational or socioeconomic level. The analysis also assumes that individual rows represent distinct student records and that the source test scores are measured consistently across the sample. No claim is made that the observed group differences are causal.</w:t>
      </w:r>
    </w:p>
    <w:p w14:paraId="5CF65A12">
      <w:pPr>
        <w:pStyle w:val="4"/>
        <w:keepNext/>
      </w:pPr>
      <w:r>
        <w:t>Data Analysis</w:t>
      </w:r>
    </w:p>
    <w:p w14:paraId="502F4135">
      <w:pPr>
        <w:pStyle w:val="5"/>
        <w:keepNext/>
      </w:pPr>
      <w:r>
        <w:t>Overall Performance</w:t>
      </w:r>
    </w:p>
    <w:p w14:paraId="05B060A1">
      <w:r>
        <w:t>The dataset contains 12,411 students. The mean global score is 162.71, the median is 163, and the standard deviation is 23.11. Scores range from 37 to 247. These values provide the benchmark for interpreting group differences.</w:t>
      </w:r>
    </w:p>
    <w:p w14:paraId="6029EA26">
      <w:pPr>
        <w:pStyle w:val="5"/>
        <w:keepNext/>
      </w:pPr>
      <w:r>
        <w:t>Parental Education</w:t>
      </w:r>
    </w:p>
    <w:p w14:paraId="5F708FFA">
      <w:r>
        <w:t>Parental education is associated with student outcomes in a clear upward pattern. Students whose mothers have postgraduate education average 175.64 on G_SC. Students whose mothers completed secondary education average 158.47, and students whose mothers have incomplete primary education average 154.85. The postgraduate versus complete-secondary difference is 17.17 points. The corresponding paternal pattern is similar: students whose fathers have postgraduate education average 176.99 compared with 158.79 for complete secondary education, a difference of 18.20 points.</w:t>
      </w:r>
    </w:p>
    <w:p w14:paraId="1198CFF9">
      <w:r>
        <w:t>A one-way ANOVA across usable maternal-education categories produces an eta-squared of approximately 0.075, while the corresponding paternal-education value is approximately 0.077. In separate one-factor comparisons, parental education is therefore associated with roughly 7.5 to 7.7 percent of the observed variation in global scores. These figures indicate meaningful association, but they do not isolate parental education from household income, school type, prior achievement, or other correlated factors.</w:t>
      </w:r>
    </w:p>
    <w:p w14:paraId="14E264AD">
      <w:pPr>
        <w:jc w:val="center"/>
      </w:pPr>
      <w:r>
        <w:drawing>
          <wp:inline distT="0" distB="0" distL="114300" distR="114300">
            <wp:extent cx="5669280" cy="4227830"/>
            <wp:effectExtent l="0" t="0" r="2032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69280" cy="4228368"/>
                    </a:xfrm>
                    <a:prstGeom prst="rect">
                      <a:avLst/>
                    </a:prstGeom>
                  </pic:spPr>
                </pic:pic>
              </a:graphicData>
            </a:graphic>
          </wp:inline>
        </w:drawing>
      </w:r>
    </w:p>
    <w:p w14:paraId="60B11F1A">
      <w:pPr>
        <w:pStyle w:val="164"/>
        <w:jc w:val="center"/>
      </w:pPr>
      <w:r>
        <w:t>Figure 1. Mean global score by mother's education. Display labels are shortened for readability.</w:t>
      </w:r>
    </w:p>
    <w:p w14:paraId="7873CB1C">
      <w:pPr>
        <w:pStyle w:val="164"/>
        <w:jc w:val="center"/>
      </w:pPr>
      <w:r>
        <w:t>Source: Author's analysis of De La Hoz (2020) dataset.</w:t>
      </w:r>
    </w:p>
    <w:p w14:paraId="0B9BDD37">
      <w:pPr>
        <w:pStyle w:val="5"/>
        <w:keepNext/>
      </w:pPr>
      <w:r>
        <w:t>Socioeconomic Stratum</w:t>
      </w:r>
    </w:p>
    <w:p w14:paraId="6CEF9C22">
      <w:r>
        <w:t>Socioeconomic stratum shows the largest ordered group pattern among the required comparisons. Mean G_SC increases at every stratum level: 152.35 in Stratum 1, 158.20 in Stratum 2, 163.82 in Stratum 3, 172.00 in Stratum 4, 177.39 in Stratum 5, and 181.51 in Stratum 6. The difference between the highest and lowest strata is 29.16 points, which is more than one overall standard deviation of G_SC.</w:t>
      </w:r>
    </w:p>
    <w:p w14:paraId="0B15F248">
      <w:r>
        <w:t>The one-way ANOVA is statistically significant (p &lt; .001), with eta-squared approximately 0.103. Thus, stratum is associated with about 10.3 percent of the observed variation in global scores in this unadjusted comparison. Because the pattern rises steadily rather than being driven by one category, it supports the interpretation of a broad socioeconomic gradient.</w:t>
      </w:r>
    </w:p>
    <w:p w14:paraId="204C9B3B">
      <w:pPr>
        <w:jc w:val="center"/>
      </w:pPr>
      <w:r>
        <w:drawing>
          <wp:inline distT="0" distB="0" distL="114300" distR="114300">
            <wp:extent cx="5669280" cy="3352165"/>
            <wp:effectExtent l="0" t="0" r="2032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669280" cy="3352175"/>
                    </a:xfrm>
                    <a:prstGeom prst="rect">
                      <a:avLst/>
                    </a:prstGeom>
                  </pic:spPr>
                </pic:pic>
              </a:graphicData>
            </a:graphic>
          </wp:inline>
        </w:drawing>
      </w:r>
    </w:p>
    <w:p w14:paraId="3EE9D380">
      <w:pPr>
        <w:pStyle w:val="164"/>
        <w:jc w:val="center"/>
      </w:pPr>
      <w:r>
        <w:t>Figure 2. Mean global score by socioeconomic stratum.</w:t>
      </w:r>
    </w:p>
    <w:p w14:paraId="347BD84E">
      <w:pPr>
        <w:pStyle w:val="164"/>
        <w:jc w:val="center"/>
      </w:pPr>
      <w:r>
        <w:t>Source: Author's analysis of De La Hoz (2020) dataset.</w:t>
      </w:r>
    </w:p>
    <w:p w14:paraId="4E89D509">
      <w:pPr>
        <w:pStyle w:val="5"/>
        <w:keepNext/>
      </w:pPr>
      <w:r>
        <w:t>Gender</w:t>
      </w:r>
    </w:p>
    <w:p w14:paraId="2D7925A6">
      <w:r>
        <w:t>Male students average 163.69 on G_SC and female students average 161.28. The 2.41-point mean difference is statistically significant in a large sample (Welch t test, p &lt; .001), but its standardized size is small (Cohen's d = 0.105). For policy purposes, the global gender gap is therefore less substantial than the socioeconomic differences described above.</w:t>
      </w:r>
    </w:p>
    <w:p w14:paraId="3C80C352">
      <w:r>
        <w:t>The component scores show a more informative pattern. Male students average 81.20 in quantitative reasoning compared with 71.89 for female students. Female students average 56.62 in written communication compared with 51.71 for male students. Differences in critical reading, citizenship competencies, English, and engineering projects are smaller. This suggests that support should respond to specific skill areas rather than treat the global score as a complete description of gender differences.</w:t>
      </w:r>
    </w:p>
    <w:p w14:paraId="547C5ACE">
      <w:pPr>
        <w:jc w:val="center"/>
      </w:pPr>
      <w:r>
        <w:drawing>
          <wp:inline distT="0" distB="0" distL="114300" distR="114300">
            <wp:extent cx="5669280" cy="36334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669280" cy="3633776"/>
                    </a:xfrm>
                    <a:prstGeom prst="rect">
                      <a:avLst/>
                    </a:prstGeom>
                  </pic:spPr>
                </pic:pic>
              </a:graphicData>
            </a:graphic>
          </wp:inline>
        </w:drawing>
      </w:r>
    </w:p>
    <w:p w14:paraId="410B2DE2">
      <w:pPr>
        <w:pStyle w:val="164"/>
        <w:jc w:val="center"/>
      </w:pPr>
      <w:r>
        <w:t>Figure 3. Higher-education component scores by gender. FEP_PRO and G_SC are omitted because they use different score scales.</w:t>
      </w:r>
    </w:p>
    <w:p w14:paraId="3614C31C">
      <w:pPr>
        <w:pStyle w:val="164"/>
        <w:jc w:val="center"/>
      </w:pPr>
      <w:r>
        <w:t>Source: Author's analysis of De La Hoz (2020) dataset.</w:t>
      </w:r>
    </w:p>
    <w:p w14:paraId="0857CB8A">
      <w:pPr>
        <w:pStyle w:val="5"/>
        <w:keepNext/>
      </w:pPr>
      <w:r>
        <w:t>Other Socioeconomic and Program Patterns</w:t>
      </w:r>
    </w:p>
    <w:p w14:paraId="050FDAA2">
      <w:r>
        <w:t>Several additional indicators reinforce the socioeconomic interpretation. Students with internet access average 164.92 on G_SC, compared with 154.62 for students without internet access, a gap of 10.30 points. Students from private high schools average 168.22, compared with 156.53 among students from public high schools. Household revenue also shows a strong gradient, from 153.31 among students in households below one LMMW to 183.67 among students in households at 10 or more LMMW.</w:t>
      </w:r>
    </w:p>
    <w:p w14:paraId="636096B9">
      <w:r>
        <w:t>Raw program averages also differ. Among programs with at least 100 students, Chemical Engineering has the highest mean G_SC at 176.70, followed by Electric Engineering at 173.99. Electronic Engineering averages 166.87, Mechanical Engineering 166.05, Civil Engineering 161.11, and Industrial Engineering 159.04. These results should not be interpreted as direct measures of program quality because program entrants may differ in prior achievement, institution, socioeconomic background, and other characteristics.</w:t>
      </w:r>
    </w:p>
    <w:p w14:paraId="32EC6D32">
      <w:pPr>
        <w:pStyle w:val="164"/>
        <w:jc w:val="center"/>
      </w:pPr>
      <w:r>
        <w:t>Table 1. Selected group comparisons on global score (G_SC)</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7B181AD0">
        <w:trPr>
          <w:cantSplit/>
          <w:jc w:val="center"/>
        </w:trPr>
        <w:tc>
          <w:tcPr>
            <w:tcW w:w="3240" w:type="dxa"/>
            <w:shd w:val="clear" w:color="auto" w:fill="E7E6E6"/>
            <w:vAlign w:val="center"/>
          </w:tcPr>
          <w:p w14:paraId="5823AAC8">
            <w:pPr>
              <w:pStyle w:val="165"/>
              <w:spacing w:after="0"/>
              <w:jc w:val="center"/>
            </w:pPr>
            <w:r>
              <w:rPr>
                <w:b/>
              </w:rPr>
              <w:t>Group</w:t>
            </w:r>
          </w:p>
        </w:tc>
        <w:tc>
          <w:tcPr>
            <w:tcW w:w="1008" w:type="dxa"/>
            <w:shd w:val="clear" w:color="auto" w:fill="E7E6E6"/>
            <w:vAlign w:val="center"/>
          </w:tcPr>
          <w:p w14:paraId="3848C6F9">
            <w:pPr>
              <w:pStyle w:val="165"/>
              <w:spacing w:after="0"/>
              <w:jc w:val="center"/>
            </w:pPr>
            <w:r>
              <w:rPr>
                <w:b/>
              </w:rPr>
              <w:t>N</w:t>
            </w:r>
          </w:p>
        </w:tc>
        <w:tc>
          <w:tcPr>
            <w:tcW w:w="1440" w:type="dxa"/>
            <w:shd w:val="clear" w:color="auto" w:fill="E7E6E6"/>
            <w:vAlign w:val="center"/>
          </w:tcPr>
          <w:p w14:paraId="165AD6B8">
            <w:pPr>
              <w:pStyle w:val="165"/>
              <w:spacing w:after="0"/>
              <w:jc w:val="center"/>
            </w:pPr>
            <w:r>
              <w:rPr>
                <w:b/>
              </w:rPr>
              <w:t>Mean G_SC</w:t>
            </w:r>
          </w:p>
        </w:tc>
        <w:tc>
          <w:tcPr>
            <w:tcW w:w="1800" w:type="dxa"/>
            <w:shd w:val="clear" w:color="auto" w:fill="E7E6E6"/>
            <w:vAlign w:val="center"/>
          </w:tcPr>
          <w:p w14:paraId="59C87D30">
            <w:pPr>
              <w:pStyle w:val="165"/>
              <w:spacing w:after="0"/>
              <w:jc w:val="center"/>
            </w:pPr>
            <w:r>
              <w:rPr>
                <w:b/>
              </w:rPr>
              <w:t>Comparison</w:t>
            </w:r>
          </w:p>
        </w:tc>
      </w:tr>
      <w:tr w14:paraId="57D24B50">
        <w:trPr>
          <w:cantSplit/>
          <w:jc w:val="center"/>
        </w:trPr>
        <w:tc>
          <w:tcPr>
            <w:tcW w:w="3240" w:type="dxa"/>
            <w:vAlign w:val="center"/>
          </w:tcPr>
          <w:p w14:paraId="261BE54B">
            <w:pPr>
              <w:pStyle w:val="165"/>
              <w:spacing w:after="0"/>
              <w:jc w:val="left"/>
            </w:pPr>
            <w:r>
              <w:rPr>
                <w:b w:val="0"/>
              </w:rPr>
              <w:t>Overall sample</w:t>
            </w:r>
          </w:p>
        </w:tc>
        <w:tc>
          <w:tcPr>
            <w:tcW w:w="1008" w:type="dxa"/>
            <w:vAlign w:val="center"/>
          </w:tcPr>
          <w:p w14:paraId="0F607247">
            <w:pPr>
              <w:pStyle w:val="165"/>
              <w:spacing w:after="0"/>
              <w:jc w:val="right"/>
            </w:pPr>
            <w:r>
              <w:rPr>
                <w:b w:val="0"/>
              </w:rPr>
              <w:t>12411</w:t>
            </w:r>
          </w:p>
        </w:tc>
        <w:tc>
          <w:tcPr>
            <w:tcW w:w="1440" w:type="dxa"/>
            <w:vAlign w:val="center"/>
          </w:tcPr>
          <w:p w14:paraId="05D48B40">
            <w:pPr>
              <w:pStyle w:val="165"/>
              <w:spacing w:after="0"/>
              <w:jc w:val="right"/>
            </w:pPr>
            <w:r>
              <w:rPr>
                <w:b w:val="0"/>
              </w:rPr>
              <w:t>162.71</w:t>
            </w:r>
          </w:p>
        </w:tc>
        <w:tc>
          <w:tcPr>
            <w:tcW w:w="1800" w:type="dxa"/>
            <w:vAlign w:val="center"/>
          </w:tcPr>
          <w:p w14:paraId="71A27752">
            <w:pPr>
              <w:pStyle w:val="165"/>
              <w:spacing w:after="0"/>
              <w:jc w:val="left"/>
            </w:pPr>
            <w:r>
              <w:rPr>
                <w:b w:val="0"/>
              </w:rPr>
              <w:t>Reference</w:t>
            </w:r>
          </w:p>
        </w:tc>
      </w:tr>
      <w:tr w14:paraId="2C96CCAC">
        <w:trPr>
          <w:cantSplit/>
          <w:jc w:val="center"/>
        </w:trPr>
        <w:tc>
          <w:tcPr>
            <w:tcW w:w="3240" w:type="dxa"/>
            <w:vAlign w:val="center"/>
          </w:tcPr>
          <w:p w14:paraId="5623FA97">
            <w:pPr>
              <w:pStyle w:val="165"/>
              <w:spacing w:after="0"/>
              <w:jc w:val="left"/>
            </w:pPr>
            <w:r>
              <w:rPr>
                <w:b w:val="0"/>
              </w:rPr>
              <w:t>Female</w:t>
            </w:r>
          </w:p>
        </w:tc>
        <w:tc>
          <w:tcPr>
            <w:tcW w:w="1008" w:type="dxa"/>
            <w:vAlign w:val="center"/>
          </w:tcPr>
          <w:p w14:paraId="684331E6">
            <w:pPr>
              <w:pStyle w:val="165"/>
              <w:spacing w:after="0"/>
              <w:jc w:val="right"/>
            </w:pPr>
            <w:r>
              <w:rPr>
                <w:b w:val="0"/>
              </w:rPr>
              <w:t>5043</w:t>
            </w:r>
          </w:p>
        </w:tc>
        <w:tc>
          <w:tcPr>
            <w:tcW w:w="1440" w:type="dxa"/>
            <w:vAlign w:val="center"/>
          </w:tcPr>
          <w:p w14:paraId="15DAA2AB">
            <w:pPr>
              <w:pStyle w:val="165"/>
              <w:spacing w:after="0"/>
              <w:jc w:val="right"/>
            </w:pPr>
            <w:r>
              <w:rPr>
                <w:b w:val="0"/>
              </w:rPr>
              <w:t>161.28</w:t>
            </w:r>
          </w:p>
        </w:tc>
        <w:tc>
          <w:tcPr>
            <w:tcW w:w="1800" w:type="dxa"/>
            <w:vAlign w:val="center"/>
          </w:tcPr>
          <w:p w14:paraId="4E6FEDEA">
            <w:pPr>
              <w:pStyle w:val="165"/>
              <w:spacing w:after="0"/>
              <w:jc w:val="left"/>
            </w:pPr>
            <w:r>
              <w:rPr>
                <w:b w:val="0"/>
              </w:rPr>
              <w:t>Gender</w:t>
            </w:r>
          </w:p>
        </w:tc>
      </w:tr>
      <w:tr w14:paraId="40DE897B">
        <w:trPr>
          <w:cantSplit/>
          <w:jc w:val="center"/>
        </w:trPr>
        <w:tc>
          <w:tcPr>
            <w:tcW w:w="3240" w:type="dxa"/>
            <w:vAlign w:val="center"/>
          </w:tcPr>
          <w:p w14:paraId="1511D2B9">
            <w:pPr>
              <w:pStyle w:val="165"/>
              <w:spacing w:after="0"/>
              <w:jc w:val="left"/>
            </w:pPr>
            <w:r>
              <w:rPr>
                <w:b w:val="0"/>
              </w:rPr>
              <w:t>Male</w:t>
            </w:r>
          </w:p>
        </w:tc>
        <w:tc>
          <w:tcPr>
            <w:tcW w:w="1008" w:type="dxa"/>
            <w:vAlign w:val="center"/>
          </w:tcPr>
          <w:p w14:paraId="6B784B1C">
            <w:pPr>
              <w:pStyle w:val="165"/>
              <w:spacing w:after="0"/>
              <w:jc w:val="right"/>
            </w:pPr>
            <w:r>
              <w:rPr>
                <w:b w:val="0"/>
              </w:rPr>
              <w:t>7368</w:t>
            </w:r>
          </w:p>
        </w:tc>
        <w:tc>
          <w:tcPr>
            <w:tcW w:w="1440" w:type="dxa"/>
            <w:vAlign w:val="center"/>
          </w:tcPr>
          <w:p w14:paraId="1535E63A">
            <w:pPr>
              <w:pStyle w:val="165"/>
              <w:spacing w:after="0"/>
              <w:jc w:val="right"/>
            </w:pPr>
            <w:r>
              <w:rPr>
                <w:b w:val="0"/>
              </w:rPr>
              <w:t>163.69</w:t>
            </w:r>
          </w:p>
        </w:tc>
        <w:tc>
          <w:tcPr>
            <w:tcW w:w="1800" w:type="dxa"/>
            <w:vAlign w:val="center"/>
          </w:tcPr>
          <w:p w14:paraId="62B4911A">
            <w:pPr>
              <w:pStyle w:val="165"/>
              <w:spacing w:after="0"/>
              <w:jc w:val="left"/>
            </w:pPr>
            <w:r>
              <w:rPr>
                <w:b w:val="0"/>
              </w:rPr>
              <w:t>Gender</w:t>
            </w:r>
          </w:p>
        </w:tc>
      </w:tr>
      <w:tr w14:paraId="7D8F1C7C">
        <w:trPr>
          <w:cantSplit/>
          <w:jc w:val="center"/>
        </w:trPr>
        <w:tc>
          <w:tcPr>
            <w:tcW w:w="3240" w:type="dxa"/>
            <w:vAlign w:val="center"/>
          </w:tcPr>
          <w:p w14:paraId="1124EAA6">
            <w:pPr>
              <w:pStyle w:val="165"/>
              <w:spacing w:after="0"/>
              <w:jc w:val="left"/>
            </w:pPr>
            <w:r>
              <w:rPr>
                <w:b w:val="0"/>
              </w:rPr>
              <w:t>Stratum 1</w:t>
            </w:r>
          </w:p>
        </w:tc>
        <w:tc>
          <w:tcPr>
            <w:tcW w:w="1008" w:type="dxa"/>
            <w:vAlign w:val="center"/>
          </w:tcPr>
          <w:p w14:paraId="079EE679">
            <w:pPr>
              <w:pStyle w:val="165"/>
              <w:spacing w:after="0"/>
              <w:jc w:val="right"/>
            </w:pPr>
            <w:r>
              <w:rPr>
                <w:b w:val="0"/>
              </w:rPr>
              <w:t>1709</w:t>
            </w:r>
          </w:p>
        </w:tc>
        <w:tc>
          <w:tcPr>
            <w:tcW w:w="1440" w:type="dxa"/>
            <w:vAlign w:val="center"/>
          </w:tcPr>
          <w:p w14:paraId="6593F873">
            <w:pPr>
              <w:pStyle w:val="165"/>
              <w:spacing w:after="0"/>
              <w:jc w:val="right"/>
            </w:pPr>
            <w:r>
              <w:rPr>
                <w:b w:val="0"/>
              </w:rPr>
              <w:t>152.35</w:t>
            </w:r>
          </w:p>
        </w:tc>
        <w:tc>
          <w:tcPr>
            <w:tcW w:w="1800" w:type="dxa"/>
            <w:vAlign w:val="center"/>
          </w:tcPr>
          <w:p w14:paraId="450E92B1">
            <w:pPr>
              <w:pStyle w:val="165"/>
              <w:spacing w:after="0"/>
              <w:jc w:val="left"/>
            </w:pPr>
            <w:r>
              <w:rPr>
                <w:b w:val="0"/>
              </w:rPr>
              <w:t>Stratum</w:t>
            </w:r>
          </w:p>
        </w:tc>
      </w:tr>
      <w:tr w14:paraId="7EDC2AEB">
        <w:trPr>
          <w:cantSplit/>
          <w:jc w:val="center"/>
        </w:trPr>
        <w:tc>
          <w:tcPr>
            <w:tcW w:w="3240" w:type="dxa"/>
            <w:vAlign w:val="center"/>
          </w:tcPr>
          <w:p w14:paraId="4C9CB72F">
            <w:pPr>
              <w:pStyle w:val="165"/>
              <w:spacing w:after="0"/>
              <w:jc w:val="left"/>
            </w:pPr>
            <w:r>
              <w:rPr>
                <w:b w:val="0"/>
              </w:rPr>
              <w:t>Stratum 6</w:t>
            </w:r>
          </w:p>
        </w:tc>
        <w:tc>
          <w:tcPr>
            <w:tcW w:w="1008" w:type="dxa"/>
            <w:vAlign w:val="center"/>
          </w:tcPr>
          <w:p w14:paraId="4D722D61">
            <w:pPr>
              <w:pStyle w:val="165"/>
              <w:spacing w:after="0"/>
              <w:jc w:val="right"/>
            </w:pPr>
            <w:r>
              <w:rPr>
                <w:b w:val="0"/>
              </w:rPr>
              <w:t>403</w:t>
            </w:r>
          </w:p>
        </w:tc>
        <w:tc>
          <w:tcPr>
            <w:tcW w:w="1440" w:type="dxa"/>
            <w:vAlign w:val="center"/>
          </w:tcPr>
          <w:p w14:paraId="2503B573">
            <w:pPr>
              <w:pStyle w:val="165"/>
              <w:spacing w:after="0"/>
              <w:jc w:val="right"/>
            </w:pPr>
            <w:r>
              <w:rPr>
                <w:b w:val="0"/>
              </w:rPr>
              <w:t>181.51</w:t>
            </w:r>
          </w:p>
        </w:tc>
        <w:tc>
          <w:tcPr>
            <w:tcW w:w="1800" w:type="dxa"/>
            <w:vAlign w:val="center"/>
          </w:tcPr>
          <w:p w14:paraId="5E6A04F0">
            <w:pPr>
              <w:pStyle w:val="165"/>
              <w:spacing w:after="0"/>
              <w:jc w:val="left"/>
            </w:pPr>
            <w:r>
              <w:rPr>
                <w:b w:val="0"/>
              </w:rPr>
              <w:t>Stratum</w:t>
            </w:r>
          </w:p>
        </w:tc>
      </w:tr>
      <w:tr w14:paraId="6AB64F5B">
        <w:trPr>
          <w:cantSplit/>
          <w:jc w:val="center"/>
        </w:trPr>
        <w:tc>
          <w:tcPr>
            <w:tcW w:w="3240" w:type="dxa"/>
            <w:vAlign w:val="center"/>
          </w:tcPr>
          <w:p w14:paraId="2C67D4FF">
            <w:pPr>
              <w:pStyle w:val="165"/>
              <w:spacing w:after="0"/>
              <w:jc w:val="left"/>
            </w:pPr>
            <w:r>
              <w:rPr>
                <w:b w:val="0"/>
              </w:rPr>
              <w:t>Internet: No</w:t>
            </w:r>
          </w:p>
        </w:tc>
        <w:tc>
          <w:tcPr>
            <w:tcW w:w="1008" w:type="dxa"/>
            <w:vAlign w:val="center"/>
          </w:tcPr>
          <w:p w14:paraId="7B4E1635">
            <w:pPr>
              <w:pStyle w:val="165"/>
              <w:spacing w:after="0"/>
              <w:jc w:val="right"/>
            </w:pPr>
            <w:r>
              <w:rPr>
                <w:b w:val="0"/>
              </w:rPr>
              <w:t>2659</w:t>
            </w:r>
          </w:p>
        </w:tc>
        <w:tc>
          <w:tcPr>
            <w:tcW w:w="1440" w:type="dxa"/>
            <w:vAlign w:val="center"/>
          </w:tcPr>
          <w:p w14:paraId="3E2AFF70">
            <w:pPr>
              <w:pStyle w:val="165"/>
              <w:spacing w:after="0"/>
              <w:jc w:val="right"/>
            </w:pPr>
            <w:r>
              <w:rPr>
                <w:b w:val="0"/>
              </w:rPr>
              <w:t>154.62</w:t>
            </w:r>
          </w:p>
        </w:tc>
        <w:tc>
          <w:tcPr>
            <w:tcW w:w="1800" w:type="dxa"/>
            <w:vAlign w:val="center"/>
          </w:tcPr>
          <w:p w14:paraId="56196D44">
            <w:pPr>
              <w:pStyle w:val="165"/>
              <w:spacing w:after="0"/>
              <w:jc w:val="left"/>
            </w:pPr>
            <w:r>
              <w:rPr>
                <w:b w:val="0"/>
              </w:rPr>
              <w:t>Resources</w:t>
            </w:r>
          </w:p>
        </w:tc>
      </w:tr>
      <w:tr w14:paraId="050568F8">
        <w:trPr>
          <w:cantSplit/>
          <w:jc w:val="center"/>
        </w:trPr>
        <w:tc>
          <w:tcPr>
            <w:tcW w:w="3240" w:type="dxa"/>
            <w:vAlign w:val="center"/>
          </w:tcPr>
          <w:p w14:paraId="51B3793C">
            <w:pPr>
              <w:pStyle w:val="165"/>
              <w:spacing w:after="0"/>
              <w:jc w:val="left"/>
            </w:pPr>
            <w:r>
              <w:rPr>
                <w:b w:val="0"/>
              </w:rPr>
              <w:t>Internet: Yes</w:t>
            </w:r>
          </w:p>
        </w:tc>
        <w:tc>
          <w:tcPr>
            <w:tcW w:w="1008" w:type="dxa"/>
            <w:vAlign w:val="center"/>
          </w:tcPr>
          <w:p w14:paraId="3D65B9C2">
            <w:pPr>
              <w:pStyle w:val="165"/>
              <w:spacing w:after="0"/>
              <w:jc w:val="right"/>
            </w:pPr>
            <w:r>
              <w:rPr>
                <w:b w:val="0"/>
              </w:rPr>
              <w:t>9752</w:t>
            </w:r>
          </w:p>
        </w:tc>
        <w:tc>
          <w:tcPr>
            <w:tcW w:w="1440" w:type="dxa"/>
            <w:vAlign w:val="center"/>
          </w:tcPr>
          <w:p w14:paraId="099CD8FE">
            <w:pPr>
              <w:pStyle w:val="165"/>
              <w:spacing w:after="0"/>
              <w:jc w:val="right"/>
            </w:pPr>
            <w:r>
              <w:rPr>
                <w:b w:val="0"/>
              </w:rPr>
              <w:t>164.92</w:t>
            </w:r>
          </w:p>
        </w:tc>
        <w:tc>
          <w:tcPr>
            <w:tcW w:w="1800" w:type="dxa"/>
            <w:vAlign w:val="center"/>
          </w:tcPr>
          <w:p w14:paraId="5CEE9307">
            <w:pPr>
              <w:pStyle w:val="165"/>
              <w:spacing w:after="0"/>
              <w:jc w:val="left"/>
            </w:pPr>
            <w:r>
              <w:rPr>
                <w:b w:val="0"/>
              </w:rPr>
              <w:t>Resources</w:t>
            </w:r>
          </w:p>
        </w:tc>
      </w:tr>
      <w:tr w14:paraId="304E5B32">
        <w:trPr>
          <w:cantSplit/>
          <w:jc w:val="center"/>
        </w:trPr>
        <w:tc>
          <w:tcPr>
            <w:tcW w:w="3240" w:type="dxa"/>
            <w:vAlign w:val="center"/>
          </w:tcPr>
          <w:p w14:paraId="6DB9E3B9">
            <w:pPr>
              <w:pStyle w:val="165"/>
              <w:spacing w:after="0"/>
              <w:jc w:val="left"/>
            </w:pPr>
            <w:r>
              <w:rPr>
                <w:b w:val="0"/>
              </w:rPr>
              <w:t>Public high school</w:t>
            </w:r>
          </w:p>
        </w:tc>
        <w:tc>
          <w:tcPr>
            <w:tcW w:w="1008" w:type="dxa"/>
            <w:vAlign w:val="center"/>
          </w:tcPr>
          <w:p w14:paraId="42338207">
            <w:pPr>
              <w:pStyle w:val="165"/>
              <w:spacing w:after="0"/>
              <w:jc w:val="right"/>
            </w:pPr>
            <w:r>
              <w:rPr>
                <w:b w:val="0"/>
              </w:rPr>
              <w:t>5846</w:t>
            </w:r>
          </w:p>
        </w:tc>
        <w:tc>
          <w:tcPr>
            <w:tcW w:w="1440" w:type="dxa"/>
            <w:vAlign w:val="center"/>
          </w:tcPr>
          <w:p w14:paraId="1B019157">
            <w:pPr>
              <w:pStyle w:val="165"/>
              <w:spacing w:after="0"/>
              <w:jc w:val="right"/>
            </w:pPr>
            <w:r>
              <w:rPr>
                <w:b w:val="0"/>
              </w:rPr>
              <w:t>156.53</w:t>
            </w:r>
          </w:p>
        </w:tc>
        <w:tc>
          <w:tcPr>
            <w:tcW w:w="1800" w:type="dxa"/>
            <w:vAlign w:val="center"/>
          </w:tcPr>
          <w:p w14:paraId="29E4B5F3">
            <w:pPr>
              <w:pStyle w:val="165"/>
              <w:spacing w:after="0"/>
              <w:jc w:val="left"/>
            </w:pPr>
            <w:r>
              <w:rPr>
                <w:b w:val="0"/>
              </w:rPr>
              <w:t>School type</w:t>
            </w:r>
          </w:p>
        </w:tc>
      </w:tr>
      <w:tr w14:paraId="5AFA33AF">
        <w:trPr>
          <w:cantSplit/>
          <w:jc w:val="center"/>
        </w:trPr>
        <w:tc>
          <w:tcPr>
            <w:tcW w:w="3240" w:type="dxa"/>
            <w:vAlign w:val="center"/>
          </w:tcPr>
          <w:p w14:paraId="64800F11">
            <w:pPr>
              <w:pStyle w:val="165"/>
              <w:spacing w:after="0"/>
              <w:jc w:val="left"/>
            </w:pPr>
            <w:r>
              <w:rPr>
                <w:b w:val="0"/>
              </w:rPr>
              <w:t>Private high school</w:t>
            </w:r>
          </w:p>
        </w:tc>
        <w:tc>
          <w:tcPr>
            <w:tcW w:w="1008" w:type="dxa"/>
            <w:vAlign w:val="center"/>
          </w:tcPr>
          <w:p w14:paraId="502931A3">
            <w:pPr>
              <w:pStyle w:val="165"/>
              <w:spacing w:after="0"/>
              <w:jc w:val="right"/>
            </w:pPr>
            <w:r>
              <w:rPr>
                <w:b w:val="0"/>
              </w:rPr>
              <w:t>6565</w:t>
            </w:r>
          </w:p>
        </w:tc>
        <w:tc>
          <w:tcPr>
            <w:tcW w:w="1440" w:type="dxa"/>
            <w:vAlign w:val="center"/>
          </w:tcPr>
          <w:p w14:paraId="5D753EE2">
            <w:pPr>
              <w:pStyle w:val="165"/>
              <w:spacing w:after="0"/>
              <w:jc w:val="right"/>
            </w:pPr>
            <w:r>
              <w:rPr>
                <w:b w:val="0"/>
              </w:rPr>
              <w:t>168.22</w:t>
            </w:r>
          </w:p>
        </w:tc>
        <w:tc>
          <w:tcPr>
            <w:tcW w:w="1800" w:type="dxa"/>
            <w:vAlign w:val="center"/>
          </w:tcPr>
          <w:p w14:paraId="7A8818AE">
            <w:pPr>
              <w:pStyle w:val="165"/>
              <w:spacing w:after="0"/>
              <w:jc w:val="left"/>
            </w:pPr>
            <w:r>
              <w:rPr>
                <w:b w:val="0"/>
              </w:rPr>
              <w:t>School type</w:t>
            </w:r>
          </w:p>
        </w:tc>
      </w:tr>
    </w:tbl>
    <w:p w14:paraId="4FFF1A22">
      <w:pPr>
        <w:pStyle w:val="164"/>
        <w:jc w:val="center"/>
      </w:pPr>
      <w:r>
        <w:t>Source: Author's analysis of De La Hoz (2020) dataset.</w:t>
      </w:r>
    </w:p>
    <w:p w14:paraId="38319707">
      <w:pPr>
        <w:pStyle w:val="4"/>
        <w:keepNext/>
      </w:pPr>
      <w:r>
        <w:t>Preferred Alternative with Rationale</w:t>
      </w:r>
    </w:p>
    <w:p w14:paraId="4DB70F9B">
      <w:r>
        <w:t>The preferred alternative is a targeted equity and skill-specific support strategy rather than a uniform intervention for all students or a strategy based mainly on gender. This option best matches the evidence because the largest and most consistent gaps are associated with socioeconomic conditions, while the overall gender difference is small. Targeting does not mean excluding other students. It means using limited program resources first where the descriptive evidence indicates larger barriers, while preserving access to general academic services.</w:t>
      </w:r>
    </w:p>
    <w:p w14:paraId="31C74390">
      <w:r>
        <w:t>The strategy should combine three elements. First, institutions should prioritize academic advising, tutoring, digital access, and transition support for lower-resource students. Second, programs should use diagnostic skill information to direct support in quantitative reasoning, writing, and other areas where students show actual needs. Third, institutions should use parental education as a group-level indicator for mentoring and navigation support, not as a deterministic label for individual ability.</w:t>
      </w:r>
    </w:p>
    <w:p w14:paraId="1FABB8DD">
      <w:pPr>
        <w:pStyle w:val="4"/>
        <w:keepNext/>
      </w:pPr>
      <w:r>
        <w:t>Justification, Predicted Outcome, and Recommendations</w:t>
      </w:r>
    </w:p>
    <w:p w14:paraId="2B661917">
      <w:r>
        <w:t>The economic rationale for targeted support is resource allocation. When program budgets are limited, concentrating intensive services on groups with larger observed gaps can direct staff time, tutoring capacity, and digital-access investments toward areas with greater potential need. The dataset does not provide intervention costs or causal treatment effects, so the report does not estimate a monetary return. Instead, the recommendation is to pilot targeted services and evaluate their outcomes before scaling.</w:t>
      </w:r>
    </w:p>
    <w:p w14:paraId="4CD0FE1B">
      <w:pPr>
        <w:pStyle w:val="16"/>
        <w:spacing w:line="480" w:lineRule="auto"/>
        <w:ind w:left="360" w:hanging="216"/>
      </w:pPr>
      <w:r>
        <w:t>Prioritize lower-resource groups. Use stratum, household revenue, SISBEN status, internet access, and institutional socioeconomic indicators to identify populations that may benefit from additional support. Do not use any single variable as an automatic eligibility rule.</w:t>
      </w:r>
    </w:p>
    <w:p w14:paraId="3C910FE2">
      <w:pPr>
        <w:pStyle w:val="16"/>
        <w:spacing w:line="480" w:lineRule="auto"/>
        <w:ind w:left="360" w:hanging="216"/>
      </w:pPr>
      <w:r>
        <w:t>Build early academic bridge support. High-school scores are strongly correlated with later G_SC in this dataset, with correlations of approximately 0.63 to 0.67 across the five S11 academic measures. Early preparation and first-year bridge services may address gaps before they compound.</w:t>
      </w:r>
    </w:p>
    <w:p w14:paraId="158CB5B8">
      <w:pPr>
        <w:pStyle w:val="16"/>
        <w:spacing w:line="480" w:lineRule="auto"/>
        <w:ind w:left="360" w:hanging="216"/>
      </w:pPr>
      <w:r>
        <w:t>Use skill-specific diagnostics. The small overall gender gap hides larger differences in quantitative reasoning and written communication. Support should be based on measured skill needs rather than assumptions about gender.</w:t>
      </w:r>
    </w:p>
    <w:p w14:paraId="385EFD3F">
      <w:pPr>
        <w:pStyle w:val="16"/>
        <w:spacing w:line="480" w:lineRule="auto"/>
        <w:ind w:left="360" w:hanging="216"/>
      </w:pPr>
      <w:r>
        <w:t>Expand mentoring and academic navigation. Lower parental education is associated with lower average scores. Mentoring can help students who may have less family experience with higher education navigate course selection, academic resources, and career planning.</w:t>
      </w:r>
    </w:p>
    <w:p w14:paraId="4078665D">
      <w:pPr>
        <w:pStyle w:val="16"/>
        <w:spacing w:line="480" w:lineRule="auto"/>
        <w:ind w:left="360" w:hanging="216"/>
      </w:pPr>
      <w:r>
        <w:t>Evaluate programs with adjusted models. Before using raw program averages for accountability or resource decisions, estimate models that control for prior achievement, socioeconomic background, gender, institution, and parental education.</w:t>
      </w:r>
    </w:p>
    <w:p w14:paraId="6B0FA5E2">
      <w:pPr>
        <w:pStyle w:val="16"/>
        <w:spacing w:line="480" w:lineRule="auto"/>
        <w:ind w:left="360" w:hanging="216"/>
      </w:pPr>
      <w:r>
        <w:t>Pilot and measure outcomes. Track participation, course performance, retention, and later assessment outcomes for students receiving targeted services. Compare changes over time and revise programs based on observed results.</w:t>
      </w:r>
    </w:p>
    <w:p w14:paraId="34DD5B98">
      <w:pPr>
        <w:pStyle w:val="3"/>
        <w:keepNext/>
      </w:pPr>
      <w:r>
        <w:t>Conclusion</w:t>
      </w:r>
    </w:p>
    <w:p w14:paraId="00121D30">
      <w:r>
        <w:t>The analysis shows that engineering students' academic outcomes are associated with social and educational background, but the size of the differences varies substantially across factors. Socioeconomic stratum has a strong ordered relationship with global performance, with a 29.16-point gap between Stratum 1 and Stratum 6 and an unadjusted eta-squared of about 0.103. Parental education also has a meaningful gradient, with postgraduate-parent groups scoring substantially above secondary-education groups. These patterns are reinforced by household revenue, internet access, SISBEN status, and school type.</w:t>
      </w:r>
    </w:p>
    <w:p w14:paraId="203F6A68">
      <w:bookmarkStart w:id="0" w:name="_GoBack"/>
      <w:bookmarkEnd w:id="0"/>
      <w:r>
        <w:t>The global gender difference is comparatively small, although specific skill areas show larger contrasts. This distinction matters for policy. Broad demographic averages can hide the skills that actually need support. A targeted equity and skill-specific strategy is therefore more consistent with the evidence than a uniform or gender-centered intervention. Future analysis should use multivariable models and program evaluation designs to separate correlated background factors and assess whether specific interventions improve outcomes.</w:t>
      </w:r>
    </w:p>
    <w:p w14:paraId="745ECFE0">
      <w:pPr>
        <w:pStyle w:val="3"/>
        <w:keepNext/>
      </w:pPr>
      <w:r>
        <w:t>References</w:t>
      </w:r>
    </w:p>
    <w:p w14:paraId="3B4FD833">
      <w:pPr>
        <w:spacing w:line="480" w:lineRule="auto"/>
        <w:ind w:left="720" w:hanging="720"/>
      </w:pPr>
      <w:r>
        <w:rPr>
          <w:i w:val="0"/>
        </w:rPr>
        <w:t xml:space="preserve">De La Hoz, Enrique. “Data of Academic Performance Evolution for Engineering Students.” </w:t>
      </w:r>
      <w:r>
        <w:rPr>
          <w:i/>
        </w:rPr>
        <w:t>Mendeley Data</w:t>
      </w:r>
      <w:r>
        <w:t>, version 1, 2020, doi:10.17632/83tcx8psxv.1.</w:t>
      </w:r>
    </w:p>
    <w:p w14:paraId="290997D4">
      <w:pPr>
        <w:pStyle w:val="3"/>
        <w:keepNext/>
      </w:pPr>
      <w:r>
        <w:t>Appendices</w:t>
      </w:r>
    </w:p>
    <w:p w14:paraId="64F2EC9E">
      <w:pPr>
        <w:pStyle w:val="4"/>
        <w:keepNext/>
      </w:pPr>
      <w:r>
        <w:t>Appendix A. Numerical Attribute Summary</w:t>
      </w:r>
    </w:p>
    <w:p w14:paraId="4BAD90C1">
      <w:r>
        <w:t>Table A1 summarizes the main high-school and higher-education numerical assessment variables. All variables shown have 12,411 observations in the source dataset.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7"/>
        <w:gridCol w:w="1337"/>
        <w:gridCol w:w="1337"/>
        <w:gridCol w:w="1337"/>
        <w:gridCol w:w="1337"/>
        <w:gridCol w:w="1337"/>
        <w:gridCol w:w="1337"/>
      </w:tblGrid>
      <w:tr w14:paraId="6668D8D7">
        <w:trPr>
          <w:cantSplit/>
          <w:jc w:val="center"/>
        </w:trPr>
        <w:tc>
          <w:tcPr>
            <w:tcW w:w="1440" w:type="dxa"/>
            <w:shd w:val="clear" w:color="auto" w:fill="E7E6E6"/>
            <w:vAlign w:val="center"/>
          </w:tcPr>
          <w:p w14:paraId="0A1C0A78">
            <w:pPr>
              <w:pStyle w:val="165"/>
              <w:spacing w:after="0"/>
              <w:jc w:val="center"/>
            </w:pPr>
            <w:r>
              <w:rPr>
                <w:b/>
              </w:rPr>
              <w:t>Variable</w:t>
            </w:r>
          </w:p>
        </w:tc>
        <w:tc>
          <w:tcPr>
            <w:tcW w:w="936" w:type="dxa"/>
            <w:shd w:val="clear" w:color="auto" w:fill="E7E6E6"/>
            <w:vAlign w:val="center"/>
          </w:tcPr>
          <w:p w14:paraId="77297D66">
            <w:pPr>
              <w:pStyle w:val="165"/>
              <w:spacing w:after="0"/>
              <w:jc w:val="center"/>
            </w:pPr>
            <w:r>
              <w:rPr>
                <w:b/>
              </w:rPr>
              <w:t>N</w:t>
            </w:r>
          </w:p>
        </w:tc>
        <w:tc>
          <w:tcPr>
            <w:tcW w:w="1152" w:type="dxa"/>
            <w:shd w:val="clear" w:color="auto" w:fill="E7E6E6"/>
            <w:vAlign w:val="center"/>
          </w:tcPr>
          <w:p w14:paraId="04BEEEED">
            <w:pPr>
              <w:pStyle w:val="165"/>
              <w:spacing w:after="0"/>
              <w:jc w:val="center"/>
            </w:pPr>
            <w:r>
              <w:rPr>
                <w:b/>
              </w:rPr>
              <w:t>Mean</w:t>
            </w:r>
          </w:p>
        </w:tc>
        <w:tc>
          <w:tcPr>
            <w:tcW w:w="1152" w:type="dxa"/>
            <w:shd w:val="clear" w:color="auto" w:fill="E7E6E6"/>
            <w:vAlign w:val="center"/>
          </w:tcPr>
          <w:p w14:paraId="70C31F8A">
            <w:pPr>
              <w:pStyle w:val="165"/>
              <w:spacing w:after="0"/>
              <w:jc w:val="center"/>
            </w:pPr>
            <w:r>
              <w:rPr>
                <w:b/>
              </w:rPr>
              <w:t>SD</w:t>
            </w:r>
          </w:p>
        </w:tc>
        <w:tc>
          <w:tcPr>
            <w:tcW w:w="1008" w:type="dxa"/>
            <w:shd w:val="clear" w:color="auto" w:fill="E7E6E6"/>
            <w:vAlign w:val="center"/>
          </w:tcPr>
          <w:p w14:paraId="26D1EDCF">
            <w:pPr>
              <w:pStyle w:val="165"/>
              <w:spacing w:after="0"/>
              <w:jc w:val="center"/>
            </w:pPr>
            <w:r>
              <w:rPr>
                <w:b/>
              </w:rPr>
              <w:t>Min</w:t>
            </w:r>
          </w:p>
        </w:tc>
        <w:tc>
          <w:tcPr>
            <w:tcW w:w="1080" w:type="dxa"/>
            <w:shd w:val="clear" w:color="auto" w:fill="E7E6E6"/>
            <w:vAlign w:val="center"/>
          </w:tcPr>
          <w:p w14:paraId="00E71C4B">
            <w:pPr>
              <w:pStyle w:val="165"/>
              <w:spacing w:after="0"/>
              <w:jc w:val="center"/>
            </w:pPr>
            <w:r>
              <w:rPr>
                <w:b/>
              </w:rPr>
              <w:t>Median</w:t>
            </w:r>
          </w:p>
        </w:tc>
        <w:tc>
          <w:tcPr>
            <w:tcW w:w="1008" w:type="dxa"/>
            <w:shd w:val="clear" w:color="auto" w:fill="E7E6E6"/>
            <w:vAlign w:val="center"/>
          </w:tcPr>
          <w:p w14:paraId="2DB4B902">
            <w:pPr>
              <w:pStyle w:val="165"/>
              <w:spacing w:after="0"/>
              <w:jc w:val="center"/>
            </w:pPr>
            <w:r>
              <w:rPr>
                <w:b/>
              </w:rPr>
              <w:t>Max</w:t>
            </w:r>
          </w:p>
        </w:tc>
      </w:tr>
      <w:tr w14:paraId="3061BAC4">
        <w:trPr>
          <w:cantSplit/>
          <w:jc w:val="center"/>
        </w:trPr>
        <w:tc>
          <w:tcPr>
            <w:tcW w:w="1440" w:type="dxa"/>
            <w:vAlign w:val="center"/>
          </w:tcPr>
          <w:p w14:paraId="66BDEEB9">
            <w:pPr>
              <w:pStyle w:val="165"/>
              <w:spacing w:after="0"/>
              <w:jc w:val="left"/>
            </w:pPr>
            <w:r>
              <w:rPr>
                <w:b w:val="0"/>
              </w:rPr>
              <w:t>MAT_S11</w:t>
            </w:r>
          </w:p>
        </w:tc>
        <w:tc>
          <w:tcPr>
            <w:tcW w:w="936" w:type="dxa"/>
            <w:vAlign w:val="center"/>
          </w:tcPr>
          <w:p w14:paraId="5DFEC0D0">
            <w:pPr>
              <w:pStyle w:val="165"/>
              <w:spacing w:after="0"/>
              <w:jc w:val="right"/>
            </w:pPr>
            <w:r>
              <w:rPr>
                <w:b w:val="0"/>
              </w:rPr>
              <w:t>12411</w:t>
            </w:r>
          </w:p>
        </w:tc>
        <w:tc>
          <w:tcPr>
            <w:tcW w:w="1152" w:type="dxa"/>
            <w:vAlign w:val="center"/>
          </w:tcPr>
          <w:p w14:paraId="1B82DC87">
            <w:pPr>
              <w:pStyle w:val="165"/>
              <w:spacing w:after="0"/>
              <w:jc w:val="right"/>
            </w:pPr>
            <w:r>
              <w:rPr>
                <w:b w:val="0"/>
              </w:rPr>
              <w:t>64.32</w:t>
            </w:r>
          </w:p>
        </w:tc>
        <w:tc>
          <w:tcPr>
            <w:tcW w:w="1152" w:type="dxa"/>
            <w:vAlign w:val="center"/>
          </w:tcPr>
          <w:p w14:paraId="7CDFDD98">
            <w:pPr>
              <w:pStyle w:val="165"/>
              <w:spacing w:after="0"/>
              <w:jc w:val="right"/>
            </w:pPr>
            <w:r>
              <w:rPr>
                <w:b w:val="0"/>
              </w:rPr>
              <w:t>11.87</w:t>
            </w:r>
          </w:p>
        </w:tc>
        <w:tc>
          <w:tcPr>
            <w:tcW w:w="1008" w:type="dxa"/>
            <w:vAlign w:val="center"/>
          </w:tcPr>
          <w:p w14:paraId="1615B6B8">
            <w:pPr>
              <w:pStyle w:val="165"/>
              <w:spacing w:after="0"/>
              <w:jc w:val="right"/>
            </w:pPr>
            <w:r>
              <w:rPr>
                <w:b w:val="0"/>
              </w:rPr>
              <w:t>26.00</w:t>
            </w:r>
          </w:p>
        </w:tc>
        <w:tc>
          <w:tcPr>
            <w:tcW w:w="1080" w:type="dxa"/>
            <w:vAlign w:val="center"/>
          </w:tcPr>
          <w:p w14:paraId="5A91EDEE">
            <w:pPr>
              <w:pStyle w:val="165"/>
              <w:spacing w:after="0"/>
              <w:jc w:val="right"/>
            </w:pPr>
            <w:r>
              <w:rPr>
                <w:b w:val="0"/>
              </w:rPr>
              <w:t>64.00</w:t>
            </w:r>
          </w:p>
        </w:tc>
        <w:tc>
          <w:tcPr>
            <w:tcW w:w="1008" w:type="dxa"/>
            <w:vAlign w:val="center"/>
          </w:tcPr>
          <w:p w14:paraId="1B1C1AAE">
            <w:pPr>
              <w:pStyle w:val="165"/>
              <w:spacing w:after="0"/>
              <w:jc w:val="right"/>
            </w:pPr>
            <w:r>
              <w:rPr>
                <w:b w:val="0"/>
              </w:rPr>
              <w:t>100.00</w:t>
            </w:r>
          </w:p>
        </w:tc>
      </w:tr>
      <w:tr w14:paraId="0C2FF120">
        <w:trPr>
          <w:cantSplit/>
          <w:jc w:val="center"/>
        </w:trPr>
        <w:tc>
          <w:tcPr>
            <w:tcW w:w="1440" w:type="dxa"/>
            <w:vAlign w:val="center"/>
          </w:tcPr>
          <w:p w14:paraId="32FF9EF2">
            <w:pPr>
              <w:pStyle w:val="165"/>
              <w:spacing w:after="0"/>
              <w:jc w:val="left"/>
            </w:pPr>
            <w:r>
              <w:rPr>
                <w:b w:val="0"/>
              </w:rPr>
              <w:t>CR_S11</w:t>
            </w:r>
          </w:p>
        </w:tc>
        <w:tc>
          <w:tcPr>
            <w:tcW w:w="936" w:type="dxa"/>
            <w:vAlign w:val="center"/>
          </w:tcPr>
          <w:p w14:paraId="31E32CDC">
            <w:pPr>
              <w:pStyle w:val="165"/>
              <w:spacing w:after="0"/>
              <w:jc w:val="right"/>
            </w:pPr>
            <w:r>
              <w:rPr>
                <w:b w:val="0"/>
              </w:rPr>
              <w:t>12411</w:t>
            </w:r>
          </w:p>
        </w:tc>
        <w:tc>
          <w:tcPr>
            <w:tcW w:w="1152" w:type="dxa"/>
            <w:vAlign w:val="center"/>
          </w:tcPr>
          <w:p w14:paraId="2946C893">
            <w:pPr>
              <w:pStyle w:val="165"/>
              <w:spacing w:after="0"/>
              <w:jc w:val="right"/>
            </w:pPr>
            <w:r>
              <w:rPr>
                <w:b w:val="0"/>
              </w:rPr>
              <w:t>60.78</w:t>
            </w:r>
          </w:p>
        </w:tc>
        <w:tc>
          <w:tcPr>
            <w:tcW w:w="1152" w:type="dxa"/>
            <w:vAlign w:val="center"/>
          </w:tcPr>
          <w:p w14:paraId="7710C15F">
            <w:pPr>
              <w:pStyle w:val="165"/>
              <w:spacing w:after="0"/>
              <w:jc w:val="right"/>
            </w:pPr>
            <w:r>
              <w:rPr>
                <w:b w:val="0"/>
              </w:rPr>
              <w:t>10.03</w:t>
            </w:r>
          </w:p>
        </w:tc>
        <w:tc>
          <w:tcPr>
            <w:tcW w:w="1008" w:type="dxa"/>
            <w:vAlign w:val="center"/>
          </w:tcPr>
          <w:p w14:paraId="4ABC9B22">
            <w:pPr>
              <w:pStyle w:val="165"/>
              <w:spacing w:after="0"/>
              <w:jc w:val="right"/>
            </w:pPr>
            <w:r>
              <w:rPr>
                <w:b w:val="0"/>
              </w:rPr>
              <w:t>24.00</w:t>
            </w:r>
          </w:p>
        </w:tc>
        <w:tc>
          <w:tcPr>
            <w:tcW w:w="1080" w:type="dxa"/>
            <w:vAlign w:val="center"/>
          </w:tcPr>
          <w:p w14:paraId="78A4166F">
            <w:pPr>
              <w:pStyle w:val="165"/>
              <w:spacing w:after="0"/>
              <w:jc w:val="right"/>
            </w:pPr>
            <w:r>
              <w:rPr>
                <w:b w:val="0"/>
              </w:rPr>
              <w:t>61.00</w:t>
            </w:r>
          </w:p>
        </w:tc>
        <w:tc>
          <w:tcPr>
            <w:tcW w:w="1008" w:type="dxa"/>
            <w:vAlign w:val="center"/>
          </w:tcPr>
          <w:p w14:paraId="00682F92">
            <w:pPr>
              <w:pStyle w:val="165"/>
              <w:spacing w:after="0"/>
              <w:jc w:val="right"/>
            </w:pPr>
            <w:r>
              <w:rPr>
                <w:b w:val="0"/>
              </w:rPr>
              <w:t>100.00</w:t>
            </w:r>
          </w:p>
        </w:tc>
      </w:tr>
      <w:tr w14:paraId="65BF6804">
        <w:trPr>
          <w:cantSplit/>
          <w:jc w:val="center"/>
        </w:trPr>
        <w:tc>
          <w:tcPr>
            <w:tcW w:w="1440" w:type="dxa"/>
            <w:vAlign w:val="center"/>
          </w:tcPr>
          <w:p w14:paraId="4E2A86D0">
            <w:pPr>
              <w:pStyle w:val="165"/>
              <w:spacing w:after="0"/>
              <w:jc w:val="left"/>
            </w:pPr>
            <w:r>
              <w:rPr>
                <w:b w:val="0"/>
              </w:rPr>
              <w:t>CC_S11</w:t>
            </w:r>
          </w:p>
        </w:tc>
        <w:tc>
          <w:tcPr>
            <w:tcW w:w="936" w:type="dxa"/>
            <w:vAlign w:val="center"/>
          </w:tcPr>
          <w:p w14:paraId="6DA52DE3">
            <w:pPr>
              <w:pStyle w:val="165"/>
              <w:spacing w:after="0"/>
              <w:jc w:val="right"/>
            </w:pPr>
            <w:r>
              <w:rPr>
                <w:b w:val="0"/>
              </w:rPr>
              <w:t>12411</w:t>
            </w:r>
          </w:p>
        </w:tc>
        <w:tc>
          <w:tcPr>
            <w:tcW w:w="1152" w:type="dxa"/>
            <w:vAlign w:val="center"/>
          </w:tcPr>
          <w:p w14:paraId="6A6B5AA1">
            <w:pPr>
              <w:pStyle w:val="165"/>
              <w:spacing w:after="0"/>
              <w:jc w:val="right"/>
            </w:pPr>
            <w:r>
              <w:rPr>
                <w:b w:val="0"/>
              </w:rPr>
              <w:t>60.71</w:t>
            </w:r>
          </w:p>
        </w:tc>
        <w:tc>
          <w:tcPr>
            <w:tcW w:w="1152" w:type="dxa"/>
            <w:vAlign w:val="center"/>
          </w:tcPr>
          <w:p w14:paraId="483018E0">
            <w:pPr>
              <w:pStyle w:val="165"/>
              <w:spacing w:after="0"/>
              <w:jc w:val="right"/>
            </w:pPr>
            <w:r>
              <w:rPr>
                <w:b w:val="0"/>
              </w:rPr>
              <w:t>10.12</w:t>
            </w:r>
          </w:p>
        </w:tc>
        <w:tc>
          <w:tcPr>
            <w:tcW w:w="1008" w:type="dxa"/>
            <w:vAlign w:val="center"/>
          </w:tcPr>
          <w:p w14:paraId="006E62A3">
            <w:pPr>
              <w:pStyle w:val="165"/>
              <w:spacing w:after="0"/>
              <w:jc w:val="right"/>
            </w:pPr>
            <w:r>
              <w:rPr>
                <w:b w:val="0"/>
              </w:rPr>
              <w:t>0.00</w:t>
            </w:r>
          </w:p>
        </w:tc>
        <w:tc>
          <w:tcPr>
            <w:tcW w:w="1080" w:type="dxa"/>
            <w:vAlign w:val="center"/>
          </w:tcPr>
          <w:p w14:paraId="1B8F33AB">
            <w:pPr>
              <w:pStyle w:val="165"/>
              <w:spacing w:after="0"/>
              <w:jc w:val="right"/>
            </w:pPr>
            <w:r>
              <w:rPr>
                <w:b w:val="0"/>
              </w:rPr>
              <w:t>60.00</w:t>
            </w:r>
          </w:p>
        </w:tc>
        <w:tc>
          <w:tcPr>
            <w:tcW w:w="1008" w:type="dxa"/>
            <w:vAlign w:val="center"/>
          </w:tcPr>
          <w:p w14:paraId="04BA7F2D">
            <w:pPr>
              <w:pStyle w:val="165"/>
              <w:spacing w:after="0"/>
              <w:jc w:val="right"/>
            </w:pPr>
            <w:r>
              <w:rPr>
                <w:b w:val="0"/>
              </w:rPr>
              <w:t>100.00</w:t>
            </w:r>
          </w:p>
        </w:tc>
      </w:tr>
      <w:tr w14:paraId="244216D6">
        <w:trPr>
          <w:cantSplit/>
          <w:jc w:val="center"/>
        </w:trPr>
        <w:tc>
          <w:tcPr>
            <w:tcW w:w="1440" w:type="dxa"/>
            <w:vAlign w:val="center"/>
          </w:tcPr>
          <w:p w14:paraId="23053C6D">
            <w:pPr>
              <w:pStyle w:val="165"/>
              <w:spacing w:after="0"/>
              <w:jc w:val="left"/>
            </w:pPr>
            <w:r>
              <w:rPr>
                <w:b w:val="0"/>
              </w:rPr>
              <w:t>BIO_S11</w:t>
            </w:r>
          </w:p>
        </w:tc>
        <w:tc>
          <w:tcPr>
            <w:tcW w:w="936" w:type="dxa"/>
            <w:vAlign w:val="center"/>
          </w:tcPr>
          <w:p w14:paraId="6212D508">
            <w:pPr>
              <w:pStyle w:val="165"/>
              <w:spacing w:after="0"/>
              <w:jc w:val="right"/>
            </w:pPr>
            <w:r>
              <w:rPr>
                <w:b w:val="0"/>
              </w:rPr>
              <w:t>12411</w:t>
            </w:r>
          </w:p>
        </w:tc>
        <w:tc>
          <w:tcPr>
            <w:tcW w:w="1152" w:type="dxa"/>
            <w:vAlign w:val="center"/>
          </w:tcPr>
          <w:p w14:paraId="4B7754D7">
            <w:pPr>
              <w:pStyle w:val="165"/>
              <w:spacing w:after="0"/>
              <w:jc w:val="right"/>
            </w:pPr>
            <w:r>
              <w:rPr>
                <w:b w:val="0"/>
              </w:rPr>
              <w:t>63.95</w:t>
            </w:r>
          </w:p>
        </w:tc>
        <w:tc>
          <w:tcPr>
            <w:tcW w:w="1152" w:type="dxa"/>
            <w:vAlign w:val="center"/>
          </w:tcPr>
          <w:p w14:paraId="4EEA4062">
            <w:pPr>
              <w:pStyle w:val="165"/>
              <w:spacing w:after="0"/>
              <w:jc w:val="right"/>
            </w:pPr>
            <w:r>
              <w:rPr>
                <w:b w:val="0"/>
              </w:rPr>
              <w:t>11.16</w:t>
            </w:r>
          </w:p>
        </w:tc>
        <w:tc>
          <w:tcPr>
            <w:tcW w:w="1008" w:type="dxa"/>
            <w:vAlign w:val="center"/>
          </w:tcPr>
          <w:p w14:paraId="52388AE7">
            <w:pPr>
              <w:pStyle w:val="165"/>
              <w:spacing w:after="0"/>
              <w:jc w:val="right"/>
            </w:pPr>
            <w:r>
              <w:rPr>
                <w:b w:val="0"/>
              </w:rPr>
              <w:t>11.00</w:t>
            </w:r>
          </w:p>
        </w:tc>
        <w:tc>
          <w:tcPr>
            <w:tcW w:w="1080" w:type="dxa"/>
            <w:vAlign w:val="center"/>
          </w:tcPr>
          <w:p w14:paraId="78E1A02E">
            <w:pPr>
              <w:pStyle w:val="165"/>
              <w:spacing w:after="0"/>
              <w:jc w:val="right"/>
            </w:pPr>
            <w:r>
              <w:rPr>
                <w:b w:val="0"/>
              </w:rPr>
              <w:t>64.00</w:t>
            </w:r>
          </w:p>
        </w:tc>
        <w:tc>
          <w:tcPr>
            <w:tcW w:w="1008" w:type="dxa"/>
            <w:vAlign w:val="center"/>
          </w:tcPr>
          <w:p w14:paraId="3B7D6B77">
            <w:pPr>
              <w:pStyle w:val="165"/>
              <w:spacing w:after="0"/>
              <w:jc w:val="right"/>
            </w:pPr>
            <w:r>
              <w:rPr>
                <w:b w:val="0"/>
              </w:rPr>
              <w:t>100.00</w:t>
            </w:r>
          </w:p>
        </w:tc>
      </w:tr>
      <w:tr w14:paraId="144E3BD9">
        <w:trPr>
          <w:cantSplit/>
          <w:jc w:val="center"/>
        </w:trPr>
        <w:tc>
          <w:tcPr>
            <w:tcW w:w="1440" w:type="dxa"/>
            <w:vAlign w:val="center"/>
          </w:tcPr>
          <w:p w14:paraId="3A4C567A">
            <w:pPr>
              <w:pStyle w:val="165"/>
              <w:spacing w:after="0"/>
              <w:jc w:val="left"/>
            </w:pPr>
            <w:r>
              <w:rPr>
                <w:b w:val="0"/>
              </w:rPr>
              <w:t>ENG_S11</w:t>
            </w:r>
          </w:p>
        </w:tc>
        <w:tc>
          <w:tcPr>
            <w:tcW w:w="936" w:type="dxa"/>
            <w:vAlign w:val="center"/>
          </w:tcPr>
          <w:p w14:paraId="1C5AE529">
            <w:pPr>
              <w:pStyle w:val="165"/>
              <w:spacing w:after="0"/>
              <w:jc w:val="right"/>
            </w:pPr>
            <w:r>
              <w:rPr>
                <w:b w:val="0"/>
              </w:rPr>
              <w:t>12411</w:t>
            </w:r>
          </w:p>
        </w:tc>
        <w:tc>
          <w:tcPr>
            <w:tcW w:w="1152" w:type="dxa"/>
            <w:vAlign w:val="center"/>
          </w:tcPr>
          <w:p w14:paraId="0E5D58DA">
            <w:pPr>
              <w:pStyle w:val="165"/>
              <w:spacing w:after="0"/>
              <w:jc w:val="right"/>
            </w:pPr>
            <w:r>
              <w:rPr>
                <w:b w:val="0"/>
              </w:rPr>
              <w:t>61.80</w:t>
            </w:r>
          </w:p>
        </w:tc>
        <w:tc>
          <w:tcPr>
            <w:tcW w:w="1152" w:type="dxa"/>
            <w:vAlign w:val="center"/>
          </w:tcPr>
          <w:p w14:paraId="6CD5A13E">
            <w:pPr>
              <w:pStyle w:val="165"/>
              <w:spacing w:after="0"/>
              <w:jc w:val="right"/>
            </w:pPr>
            <w:r>
              <w:rPr>
                <w:b w:val="0"/>
              </w:rPr>
              <w:t>14.30</w:t>
            </w:r>
          </w:p>
        </w:tc>
        <w:tc>
          <w:tcPr>
            <w:tcW w:w="1008" w:type="dxa"/>
            <w:vAlign w:val="center"/>
          </w:tcPr>
          <w:p w14:paraId="6919E4C7">
            <w:pPr>
              <w:pStyle w:val="165"/>
              <w:spacing w:after="0"/>
              <w:jc w:val="right"/>
            </w:pPr>
            <w:r>
              <w:rPr>
                <w:b w:val="0"/>
              </w:rPr>
              <w:t>26.00</w:t>
            </w:r>
          </w:p>
        </w:tc>
        <w:tc>
          <w:tcPr>
            <w:tcW w:w="1080" w:type="dxa"/>
            <w:vAlign w:val="center"/>
          </w:tcPr>
          <w:p w14:paraId="69B30983">
            <w:pPr>
              <w:pStyle w:val="165"/>
              <w:spacing w:after="0"/>
              <w:jc w:val="right"/>
            </w:pPr>
            <w:r>
              <w:rPr>
                <w:b w:val="0"/>
              </w:rPr>
              <w:t>59.00</w:t>
            </w:r>
          </w:p>
        </w:tc>
        <w:tc>
          <w:tcPr>
            <w:tcW w:w="1008" w:type="dxa"/>
            <w:vAlign w:val="center"/>
          </w:tcPr>
          <w:p w14:paraId="6DF321D0">
            <w:pPr>
              <w:pStyle w:val="165"/>
              <w:spacing w:after="0"/>
              <w:jc w:val="right"/>
            </w:pPr>
            <w:r>
              <w:rPr>
                <w:b w:val="0"/>
              </w:rPr>
              <w:t>100.00</w:t>
            </w:r>
          </w:p>
        </w:tc>
      </w:tr>
      <w:tr w14:paraId="4F94F61C">
        <w:trPr>
          <w:cantSplit/>
          <w:jc w:val="center"/>
        </w:trPr>
        <w:tc>
          <w:tcPr>
            <w:tcW w:w="1440" w:type="dxa"/>
            <w:vAlign w:val="center"/>
          </w:tcPr>
          <w:p w14:paraId="7DABAF90">
            <w:pPr>
              <w:pStyle w:val="165"/>
              <w:spacing w:after="0"/>
              <w:jc w:val="left"/>
            </w:pPr>
            <w:r>
              <w:rPr>
                <w:b w:val="0"/>
              </w:rPr>
              <w:t>QR_PRO</w:t>
            </w:r>
          </w:p>
        </w:tc>
        <w:tc>
          <w:tcPr>
            <w:tcW w:w="936" w:type="dxa"/>
            <w:vAlign w:val="center"/>
          </w:tcPr>
          <w:p w14:paraId="5333E58B">
            <w:pPr>
              <w:pStyle w:val="165"/>
              <w:spacing w:after="0"/>
              <w:jc w:val="right"/>
            </w:pPr>
            <w:r>
              <w:rPr>
                <w:b w:val="0"/>
              </w:rPr>
              <w:t>12411</w:t>
            </w:r>
          </w:p>
        </w:tc>
        <w:tc>
          <w:tcPr>
            <w:tcW w:w="1152" w:type="dxa"/>
            <w:vAlign w:val="center"/>
          </w:tcPr>
          <w:p w14:paraId="3D08B627">
            <w:pPr>
              <w:pStyle w:val="165"/>
              <w:spacing w:after="0"/>
              <w:jc w:val="right"/>
            </w:pPr>
            <w:r>
              <w:rPr>
                <w:b w:val="0"/>
              </w:rPr>
              <w:t>77.42</w:t>
            </w:r>
          </w:p>
        </w:tc>
        <w:tc>
          <w:tcPr>
            <w:tcW w:w="1152" w:type="dxa"/>
            <w:vAlign w:val="center"/>
          </w:tcPr>
          <w:p w14:paraId="506CC650">
            <w:pPr>
              <w:pStyle w:val="165"/>
              <w:spacing w:after="0"/>
              <w:jc w:val="right"/>
            </w:pPr>
            <w:r>
              <w:rPr>
                <w:b w:val="0"/>
              </w:rPr>
              <w:t>22.67</w:t>
            </w:r>
          </w:p>
        </w:tc>
        <w:tc>
          <w:tcPr>
            <w:tcW w:w="1008" w:type="dxa"/>
            <w:vAlign w:val="center"/>
          </w:tcPr>
          <w:p w14:paraId="1D43706A">
            <w:pPr>
              <w:pStyle w:val="165"/>
              <w:spacing w:after="0"/>
              <w:jc w:val="right"/>
            </w:pPr>
            <w:r>
              <w:rPr>
                <w:b w:val="0"/>
              </w:rPr>
              <w:t>1.00</w:t>
            </w:r>
          </w:p>
        </w:tc>
        <w:tc>
          <w:tcPr>
            <w:tcW w:w="1080" w:type="dxa"/>
            <w:vAlign w:val="center"/>
          </w:tcPr>
          <w:p w14:paraId="2CC728DA">
            <w:pPr>
              <w:pStyle w:val="165"/>
              <w:spacing w:after="0"/>
              <w:jc w:val="right"/>
            </w:pPr>
            <w:r>
              <w:rPr>
                <w:b w:val="0"/>
              </w:rPr>
              <w:t>85.00</w:t>
            </w:r>
          </w:p>
        </w:tc>
        <w:tc>
          <w:tcPr>
            <w:tcW w:w="1008" w:type="dxa"/>
            <w:vAlign w:val="center"/>
          </w:tcPr>
          <w:p w14:paraId="1EF518B2">
            <w:pPr>
              <w:pStyle w:val="165"/>
              <w:spacing w:after="0"/>
              <w:jc w:val="right"/>
            </w:pPr>
            <w:r>
              <w:rPr>
                <w:b w:val="0"/>
              </w:rPr>
              <w:t>100.00</w:t>
            </w:r>
          </w:p>
        </w:tc>
      </w:tr>
      <w:tr w14:paraId="0CA1A9A3">
        <w:trPr>
          <w:cantSplit/>
          <w:jc w:val="center"/>
        </w:trPr>
        <w:tc>
          <w:tcPr>
            <w:tcW w:w="1440" w:type="dxa"/>
            <w:vAlign w:val="center"/>
          </w:tcPr>
          <w:p w14:paraId="221BEBFF">
            <w:pPr>
              <w:pStyle w:val="165"/>
              <w:spacing w:after="0"/>
              <w:jc w:val="left"/>
            </w:pPr>
            <w:r>
              <w:rPr>
                <w:b w:val="0"/>
              </w:rPr>
              <w:t>CR_PRO</w:t>
            </w:r>
          </w:p>
        </w:tc>
        <w:tc>
          <w:tcPr>
            <w:tcW w:w="936" w:type="dxa"/>
            <w:vAlign w:val="center"/>
          </w:tcPr>
          <w:p w14:paraId="3431047D">
            <w:pPr>
              <w:pStyle w:val="165"/>
              <w:spacing w:after="0"/>
              <w:jc w:val="right"/>
            </w:pPr>
            <w:r>
              <w:rPr>
                <w:b w:val="0"/>
              </w:rPr>
              <w:t>12411</w:t>
            </w:r>
          </w:p>
        </w:tc>
        <w:tc>
          <w:tcPr>
            <w:tcW w:w="1152" w:type="dxa"/>
            <w:vAlign w:val="center"/>
          </w:tcPr>
          <w:p w14:paraId="57716291">
            <w:pPr>
              <w:pStyle w:val="165"/>
              <w:spacing w:after="0"/>
              <w:jc w:val="right"/>
            </w:pPr>
            <w:r>
              <w:rPr>
                <w:b w:val="0"/>
              </w:rPr>
              <w:t>62.20</w:t>
            </w:r>
          </w:p>
        </w:tc>
        <w:tc>
          <w:tcPr>
            <w:tcW w:w="1152" w:type="dxa"/>
            <w:vAlign w:val="center"/>
          </w:tcPr>
          <w:p w14:paraId="25A41554">
            <w:pPr>
              <w:pStyle w:val="165"/>
              <w:spacing w:after="0"/>
              <w:jc w:val="right"/>
            </w:pPr>
            <w:r>
              <w:rPr>
                <w:b w:val="0"/>
              </w:rPr>
              <w:t>27.67</w:t>
            </w:r>
          </w:p>
        </w:tc>
        <w:tc>
          <w:tcPr>
            <w:tcW w:w="1008" w:type="dxa"/>
            <w:vAlign w:val="center"/>
          </w:tcPr>
          <w:p w14:paraId="452CCC16">
            <w:pPr>
              <w:pStyle w:val="165"/>
              <w:spacing w:after="0"/>
              <w:jc w:val="right"/>
            </w:pPr>
            <w:r>
              <w:rPr>
                <w:b w:val="0"/>
              </w:rPr>
              <w:t>1.00</w:t>
            </w:r>
          </w:p>
        </w:tc>
        <w:tc>
          <w:tcPr>
            <w:tcW w:w="1080" w:type="dxa"/>
            <w:vAlign w:val="center"/>
          </w:tcPr>
          <w:p w14:paraId="426B877E">
            <w:pPr>
              <w:pStyle w:val="165"/>
              <w:spacing w:after="0"/>
              <w:jc w:val="right"/>
            </w:pPr>
            <w:r>
              <w:rPr>
                <w:b w:val="0"/>
              </w:rPr>
              <w:t>67.00</w:t>
            </w:r>
          </w:p>
        </w:tc>
        <w:tc>
          <w:tcPr>
            <w:tcW w:w="1008" w:type="dxa"/>
            <w:vAlign w:val="center"/>
          </w:tcPr>
          <w:p w14:paraId="7800323B">
            <w:pPr>
              <w:pStyle w:val="165"/>
              <w:spacing w:after="0"/>
              <w:jc w:val="right"/>
            </w:pPr>
            <w:r>
              <w:rPr>
                <w:b w:val="0"/>
              </w:rPr>
              <w:t>100.00</w:t>
            </w:r>
          </w:p>
        </w:tc>
      </w:tr>
      <w:tr w14:paraId="507B5440">
        <w:trPr>
          <w:cantSplit/>
          <w:jc w:val="center"/>
        </w:trPr>
        <w:tc>
          <w:tcPr>
            <w:tcW w:w="1440" w:type="dxa"/>
            <w:vAlign w:val="center"/>
          </w:tcPr>
          <w:p w14:paraId="7C6C2AD5">
            <w:pPr>
              <w:pStyle w:val="165"/>
              <w:spacing w:after="0"/>
              <w:jc w:val="left"/>
            </w:pPr>
            <w:r>
              <w:rPr>
                <w:b w:val="0"/>
              </w:rPr>
              <w:t>CC_PRO</w:t>
            </w:r>
          </w:p>
        </w:tc>
        <w:tc>
          <w:tcPr>
            <w:tcW w:w="936" w:type="dxa"/>
            <w:vAlign w:val="center"/>
          </w:tcPr>
          <w:p w14:paraId="1F6BA5C4">
            <w:pPr>
              <w:pStyle w:val="165"/>
              <w:spacing w:after="0"/>
              <w:jc w:val="right"/>
            </w:pPr>
            <w:r>
              <w:rPr>
                <w:b w:val="0"/>
              </w:rPr>
              <w:t>12411</w:t>
            </w:r>
          </w:p>
        </w:tc>
        <w:tc>
          <w:tcPr>
            <w:tcW w:w="1152" w:type="dxa"/>
            <w:vAlign w:val="center"/>
          </w:tcPr>
          <w:p w14:paraId="2C2DEF56">
            <w:pPr>
              <w:pStyle w:val="165"/>
              <w:spacing w:after="0"/>
              <w:jc w:val="right"/>
            </w:pPr>
            <w:r>
              <w:rPr>
                <w:b w:val="0"/>
              </w:rPr>
              <w:t>59.19</w:t>
            </w:r>
          </w:p>
        </w:tc>
        <w:tc>
          <w:tcPr>
            <w:tcW w:w="1152" w:type="dxa"/>
            <w:vAlign w:val="center"/>
          </w:tcPr>
          <w:p w14:paraId="0D2BEFA8">
            <w:pPr>
              <w:pStyle w:val="165"/>
              <w:spacing w:after="0"/>
              <w:jc w:val="right"/>
            </w:pPr>
            <w:r>
              <w:rPr>
                <w:b w:val="0"/>
              </w:rPr>
              <w:t>28.99</w:t>
            </w:r>
          </w:p>
        </w:tc>
        <w:tc>
          <w:tcPr>
            <w:tcW w:w="1008" w:type="dxa"/>
            <w:vAlign w:val="center"/>
          </w:tcPr>
          <w:p w14:paraId="0D65F573">
            <w:pPr>
              <w:pStyle w:val="165"/>
              <w:spacing w:after="0"/>
              <w:jc w:val="right"/>
            </w:pPr>
            <w:r>
              <w:rPr>
                <w:b w:val="0"/>
              </w:rPr>
              <w:t>1.00</w:t>
            </w:r>
          </w:p>
        </w:tc>
        <w:tc>
          <w:tcPr>
            <w:tcW w:w="1080" w:type="dxa"/>
            <w:vAlign w:val="center"/>
          </w:tcPr>
          <w:p w14:paraId="2FDE5D58">
            <w:pPr>
              <w:pStyle w:val="165"/>
              <w:spacing w:after="0"/>
              <w:jc w:val="right"/>
            </w:pPr>
            <w:r>
              <w:rPr>
                <w:b w:val="0"/>
              </w:rPr>
              <w:t>65.00</w:t>
            </w:r>
          </w:p>
        </w:tc>
        <w:tc>
          <w:tcPr>
            <w:tcW w:w="1008" w:type="dxa"/>
            <w:vAlign w:val="center"/>
          </w:tcPr>
          <w:p w14:paraId="5A9B3018">
            <w:pPr>
              <w:pStyle w:val="165"/>
              <w:spacing w:after="0"/>
              <w:jc w:val="right"/>
            </w:pPr>
            <w:r>
              <w:rPr>
                <w:b w:val="0"/>
              </w:rPr>
              <w:t>100.00</w:t>
            </w:r>
          </w:p>
        </w:tc>
      </w:tr>
      <w:tr w14:paraId="6965AC70">
        <w:trPr>
          <w:cantSplit/>
          <w:jc w:val="center"/>
        </w:trPr>
        <w:tc>
          <w:tcPr>
            <w:tcW w:w="1440" w:type="dxa"/>
            <w:vAlign w:val="center"/>
          </w:tcPr>
          <w:p w14:paraId="11F05B97">
            <w:pPr>
              <w:pStyle w:val="165"/>
              <w:spacing w:after="0"/>
              <w:jc w:val="left"/>
            </w:pPr>
            <w:r>
              <w:rPr>
                <w:b w:val="0"/>
              </w:rPr>
              <w:t>ENG_PRO</w:t>
            </w:r>
          </w:p>
        </w:tc>
        <w:tc>
          <w:tcPr>
            <w:tcW w:w="936" w:type="dxa"/>
            <w:vAlign w:val="center"/>
          </w:tcPr>
          <w:p w14:paraId="6B4D6A05">
            <w:pPr>
              <w:pStyle w:val="165"/>
              <w:spacing w:after="0"/>
              <w:jc w:val="right"/>
            </w:pPr>
            <w:r>
              <w:rPr>
                <w:b w:val="0"/>
              </w:rPr>
              <w:t>12411</w:t>
            </w:r>
          </w:p>
        </w:tc>
        <w:tc>
          <w:tcPr>
            <w:tcW w:w="1152" w:type="dxa"/>
            <w:vAlign w:val="center"/>
          </w:tcPr>
          <w:p w14:paraId="1060A0FE">
            <w:pPr>
              <w:pStyle w:val="165"/>
              <w:spacing w:after="0"/>
              <w:jc w:val="right"/>
            </w:pPr>
            <w:r>
              <w:rPr>
                <w:b w:val="0"/>
              </w:rPr>
              <w:t>67.50</w:t>
            </w:r>
          </w:p>
        </w:tc>
        <w:tc>
          <w:tcPr>
            <w:tcW w:w="1152" w:type="dxa"/>
            <w:vAlign w:val="center"/>
          </w:tcPr>
          <w:p w14:paraId="2EDBAFB6">
            <w:pPr>
              <w:pStyle w:val="165"/>
              <w:spacing w:after="0"/>
              <w:jc w:val="right"/>
            </w:pPr>
            <w:r>
              <w:rPr>
                <w:b w:val="0"/>
              </w:rPr>
              <w:t>25.50</w:t>
            </w:r>
          </w:p>
        </w:tc>
        <w:tc>
          <w:tcPr>
            <w:tcW w:w="1008" w:type="dxa"/>
            <w:vAlign w:val="center"/>
          </w:tcPr>
          <w:p w14:paraId="6B32051D">
            <w:pPr>
              <w:pStyle w:val="165"/>
              <w:spacing w:after="0"/>
              <w:jc w:val="right"/>
            </w:pPr>
            <w:r>
              <w:rPr>
                <w:b w:val="0"/>
              </w:rPr>
              <w:t>1.00</w:t>
            </w:r>
          </w:p>
        </w:tc>
        <w:tc>
          <w:tcPr>
            <w:tcW w:w="1080" w:type="dxa"/>
            <w:vAlign w:val="center"/>
          </w:tcPr>
          <w:p w14:paraId="462F83D4">
            <w:pPr>
              <w:pStyle w:val="165"/>
              <w:spacing w:after="0"/>
              <w:jc w:val="right"/>
            </w:pPr>
            <w:r>
              <w:rPr>
                <w:b w:val="0"/>
              </w:rPr>
              <w:t>74.00</w:t>
            </w:r>
          </w:p>
        </w:tc>
        <w:tc>
          <w:tcPr>
            <w:tcW w:w="1008" w:type="dxa"/>
            <w:vAlign w:val="center"/>
          </w:tcPr>
          <w:p w14:paraId="5D326D68">
            <w:pPr>
              <w:pStyle w:val="165"/>
              <w:spacing w:after="0"/>
              <w:jc w:val="right"/>
            </w:pPr>
            <w:r>
              <w:rPr>
                <w:b w:val="0"/>
              </w:rPr>
              <w:t>100.00</w:t>
            </w:r>
          </w:p>
        </w:tc>
      </w:tr>
      <w:tr w14:paraId="32B26E61">
        <w:trPr>
          <w:cantSplit/>
          <w:jc w:val="center"/>
        </w:trPr>
        <w:tc>
          <w:tcPr>
            <w:tcW w:w="1440" w:type="dxa"/>
            <w:vAlign w:val="center"/>
          </w:tcPr>
          <w:p w14:paraId="4CD1FD07">
            <w:pPr>
              <w:pStyle w:val="165"/>
              <w:spacing w:after="0"/>
              <w:jc w:val="left"/>
            </w:pPr>
            <w:r>
              <w:rPr>
                <w:b w:val="0"/>
              </w:rPr>
              <w:t>WC_PRO</w:t>
            </w:r>
          </w:p>
        </w:tc>
        <w:tc>
          <w:tcPr>
            <w:tcW w:w="936" w:type="dxa"/>
            <w:vAlign w:val="center"/>
          </w:tcPr>
          <w:p w14:paraId="0F8B46E9">
            <w:pPr>
              <w:pStyle w:val="165"/>
              <w:spacing w:after="0"/>
              <w:jc w:val="right"/>
            </w:pPr>
            <w:r>
              <w:rPr>
                <w:b w:val="0"/>
              </w:rPr>
              <w:t>12411</w:t>
            </w:r>
          </w:p>
        </w:tc>
        <w:tc>
          <w:tcPr>
            <w:tcW w:w="1152" w:type="dxa"/>
            <w:vAlign w:val="center"/>
          </w:tcPr>
          <w:p w14:paraId="4195FFEB">
            <w:pPr>
              <w:pStyle w:val="165"/>
              <w:spacing w:after="0"/>
              <w:jc w:val="right"/>
            </w:pPr>
            <w:r>
              <w:rPr>
                <w:b w:val="0"/>
              </w:rPr>
              <w:t>53.70</w:t>
            </w:r>
          </w:p>
        </w:tc>
        <w:tc>
          <w:tcPr>
            <w:tcW w:w="1152" w:type="dxa"/>
            <w:vAlign w:val="center"/>
          </w:tcPr>
          <w:p w14:paraId="75ED7041">
            <w:pPr>
              <w:pStyle w:val="165"/>
              <w:spacing w:after="0"/>
              <w:jc w:val="right"/>
            </w:pPr>
            <w:r>
              <w:rPr>
                <w:b w:val="0"/>
              </w:rPr>
              <w:t>30.00</w:t>
            </w:r>
          </w:p>
        </w:tc>
        <w:tc>
          <w:tcPr>
            <w:tcW w:w="1008" w:type="dxa"/>
            <w:vAlign w:val="center"/>
          </w:tcPr>
          <w:p w14:paraId="56FA6022">
            <w:pPr>
              <w:pStyle w:val="165"/>
              <w:spacing w:after="0"/>
              <w:jc w:val="right"/>
            </w:pPr>
            <w:r>
              <w:rPr>
                <w:b w:val="0"/>
              </w:rPr>
              <w:t>0.00</w:t>
            </w:r>
          </w:p>
        </w:tc>
        <w:tc>
          <w:tcPr>
            <w:tcW w:w="1080" w:type="dxa"/>
            <w:vAlign w:val="center"/>
          </w:tcPr>
          <w:p w14:paraId="7B52AF6E">
            <w:pPr>
              <w:pStyle w:val="165"/>
              <w:spacing w:after="0"/>
              <w:jc w:val="right"/>
            </w:pPr>
            <w:r>
              <w:rPr>
                <w:b w:val="0"/>
              </w:rPr>
              <w:t>56.00</w:t>
            </w:r>
          </w:p>
        </w:tc>
        <w:tc>
          <w:tcPr>
            <w:tcW w:w="1008" w:type="dxa"/>
            <w:vAlign w:val="center"/>
          </w:tcPr>
          <w:p w14:paraId="12AA8C7C">
            <w:pPr>
              <w:pStyle w:val="165"/>
              <w:spacing w:after="0"/>
              <w:jc w:val="right"/>
            </w:pPr>
            <w:r>
              <w:rPr>
                <w:b w:val="0"/>
              </w:rPr>
              <w:t>100.00</w:t>
            </w:r>
          </w:p>
        </w:tc>
      </w:tr>
      <w:tr w14:paraId="403E5E4B">
        <w:trPr>
          <w:cantSplit/>
          <w:jc w:val="center"/>
        </w:trPr>
        <w:tc>
          <w:tcPr>
            <w:tcW w:w="1440" w:type="dxa"/>
            <w:vAlign w:val="center"/>
          </w:tcPr>
          <w:p w14:paraId="3BEF643D">
            <w:pPr>
              <w:pStyle w:val="165"/>
              <w:spacing w:after="0"/>
              <w:jc w:val="left"/>
            </w:pPr>
            <w:r>
              <w:rPr>
                <w:b w:val="0"/>
              </w:rPr>
              <w:t>FEP_PRO</w:t>
            </w:r>
          </w:p>
        </w:tc>
        <w:tc>
          <w:tcPr>
            <w:tcW w:w="936" w:type="dxa"/>
            <w:vAlign w:val="center"/>
          </w:tcPr>
          <w:p w14:paraId="564BDBF3">
            <w:pPr>
              <w:pStyle w:val="165"/>
              <w:spacing w:after="0"/>
              <w:jc w:val="right"/>
            </w:pPr>
            <w:r>
              <w:rPr>
                <w:b w:val="0"/>
              </w:rPr>
              <w:t>12411</w:t>
            </w:r>
          </w:p>
        </w:tc>
        <w:tc>
          <w:tcPr>
            <w:tcW w:w="1152" w:type="dxa"/>
            <w:vAlign w:val="center"/>
          </w:tcPr>
          <w:p w14:paraId="613DF130">
            <w:pPr>
              <w:pStyle w:val="165"/>
              <w:spacing w:after="0"/>
              <w:jc w:val="right"/>
            </w:pPr>
            <w:r>
              <w:rPr>
                <w:b w:val="0"/>
              </w:rPr>
              <w:t>145.48</w:t>
            </w:r>
          </w:p>
        </w:tc>
        <w:tc>
          <w:tcPr>
            <w:tcW w:w="1152" w:type="dxa"/>
            <w:vAlign w:val="center"/>
          </w:tcPr>
          <w:p w14:paraId="4D66D138">
            <w:pPr>
              <w:pStyle w:val="165"/>
              <w:spacing w:after="0"/>
              <w:jc w:val="right"/>
            </w:pPr>
            <w:r>
              <w:rPr>
                <w:b w:val="0"/>
              </w:rPr>
              <w:t>40.13</w:t>
            </w:r>
          </w:p>
        </w:tc>
        <w:tc>
          <w:tcPr>
            <w:tcW w:w="1008" w:type="dxa"/>
            <w:vAlign w:val="center"/>
          </w:tcPr>
          <w:p w14:paraId="21A06EF9">
            <w:pPr>
              <w:pStyle w:val="165"/>
              <w:spacing w:after="0"/>
              <w:jc w:val="right"/>
            </w:pPr>
            <w:r>
              <w:rPr>
                <w:b w:val="0"/>
              </w:rPr>
              <w:t>1.00</w:t>
            </w:r>
          </w:p>
        </w:tc>
        <w:tc>
          <w:tcPr>
            <w:tcW w:w="1080" w:type="dxa"/>
            <w:vAlign w:val="center"/>
          </w:tcPr>
          <w:p w14:paraId="176C3DF6">
            <w:pPr>
              <w:pStyle w:val="165"/>
              <w:spacing w:after="0"/>
              <w:jc w:val="right"/>
            </w:pPr>
            <w:r>
              <w:rPr>
                <w:b w:val="0"/>
              </w:rPr>
              <w:t>153.00</w:t>
            </w:r>
          </w:p>
        </w:tc>
        <w:tc>
          <w:tcPr>
            <w:tcW w:w="1008" w:type="dxa"/>
            <w:vAlign w:val="center"/>
          </w:tcPr>
          <w:p w14:paraId="2DFD6430">
            <w:pPr>
              <w:pStyle w:val="165"/>
              <w:spacing w:after="0"/>
              <w:jc w:val="right"/>
            </w:pPr>
            <w:r>
              <w:rPr>
                <w:b w:val="0"/>
              </w:rPr>
              <w:t>300.00</w:t>
            </w:r>
          </w:p>
        </w:tc>
      </w:tr>
      <w:tr w14:paraId="5FBFC011">
        <w:trPr>
          <w:cantSplit/>
          <w:jc w:val="center"/>
        </w:trPr>
        <w:tc>
          <w:tcPr>
            <w:tcW w:w="1440" w:type="dxa"/>
            <w:vAlign w:val="center"/>
          </w:tcPr>
          <w:p w14:paraId="18DAE64F">
            <w:pPr>
              <w:pStyle w:val="165"/>
              <w:spacing w:after="0"/>
              <w:jc w:val="left"/>
            </w:pPr>
            <w:r>
              <w:rPr>
                <w:b w:val="0"/>
              </w:rPr>
              <w:t>G_SC</w:t>
            </w:r>
          </w:p>
        </w:tc>
        <w:tc>
          <w:tcPr>
            <w:tcW w:w="936" w:type="dxa"/>
            <w:vAlign w:val="center"/>
          </w:tcPr>
          <w:p w14:paraId="5385AFC6">
            <w:pPr>
              <w:pStyle w:val="165"/>
              <w:spacing w:after="0"/>
              <w:jc w:val="right"/>
            </w:pPr>
            <w:r>
              <w:rPr>
                <w:b w:val="0"/>
              </w:rPr>
              <w:t>12411</w:t>
            </w:r>
          </w:p>
        </w:tc>
        <w:tc>
          <w:tcPr>
            <w:tcW w:w="1152" w:type="dxa"/>
            <w:vAlign w:val="center"/>
          </w:tcPr>
          <w:p w14:paraId="2F91FDF7">
            <w:pPr>
              <w:pStyle w:val="165"/>
              <w:spacing w:after="0"/>
              <w:jc w:val="right"/>
            </w:pPr>
            <w:r>
              <w:rPr>
                <w:b w:val="0"/>
              </w:rPr>
              <w:t>162.71</w:t>
            </w:r>
          </w:p>
        </w:tc>
        <w:tc>
          <w:tcPr>
            <w:tcW w:w="1152" w:type="dxa"/>
            <w:vAlign w:val="center"/>
          </w:tcPr>
          <w:p w14:paraId="3E6A1DD9">
            <w:pPr>
              <w:pStyle w:val="165"/>
              <w:spacing w:after="0"/>
              <w:jc w:val="right"/>
            </w:pPr>
            <w:r>
              <w:rPr>
                <w:b w:val="0"/>
              </w:rPr>
              <w:t>23.11</w:t>
            </w:r>
          </w:p>
        </w:tc>
        <w:tc>
          <w:tcPr>
            <w:tcW w:w="1008" w:type="dxa"/>
            <w:vAlign w:val="center"/>
          </w:tcPr>
          <w:p w14:paraId="4B436675">
            <w:pPr>
              <w:pStyle w:val="165"/>
              <w:spacing w:after="0"/>
              <w:jc w:val="right"/>
            </w:pPr>
            <w:r>
              <w:rPr>
                <w:b w:val="0"/>
              </w:rPr>
              <w:t>37.00</w:t>
            </w:r>
          </w:p>
        </w:tc>
        <w:tc>
          <w:tcPr>
            <w:tcW w:w="1080" w:type="dxa"/>
            <w:vAlign w:val="center"/>
          </w:tcPr>
          <w:p w14:paraId="27018615">
            <w:pPr>
              <w:pStyle w:val="165"/>
              <w:spacing w:after="0"/>
              <w:jc w:val="right"/>
            </w:pPr>
            <w:r>
              <w:rPr>
                <w:b w:val="0"/>
              </w:rPr>
              <w:t>163.00</w:t>
            </w:r>
          </w:p>
        </w:tc>
        <w:tc>
          <w:tcPr>
            <w:tcW w:w="1008" w:type="dxa"/>
            <w:vAlign w:val="center"/>
          </w:tcPr>
          <w:p w14:paraId="22E054FD">
            <w:pPr>
              <w:pStyle w:val="165"/>
              <w:spacing w:after="0"/>
              <w:jc w:val="right"/>
            </w:pPr>
            <w:r>
              <w:rPr>
                <w:b w:val="0"/>
              </w:rPr>
              <w:t>247.00</w:t>
            </w:r>
          </w:p>
        </w:tc>
      </w:tr>
    </w:tbl>
    <w:p w14:paraId="79ADDC10">
      <w:pPr>
        <w:pStyle w:val="4"/>
        <w:keepNext/>
      </w:pPr>
      <w:r>
        <w:t>Appendix B. Detailed Group Statistics</w:t>
      </w:r>
    </w:p>
    <w:p w14:paraId="773E61CE">
      <w:pPr>
        <w:pStyle w:val="164"/>
        <w:jc w:val="center"/>
      </w:pPr>
      <w:r>
        <w:t>Table B1. Global score by socioeconomic stratum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08CEC067">
        <w:trPr>
          <w:cantSplit/>
          <w:jc w:val="center"/>
        </w:trPr>
        <w:tc>
          <w:tcPr>
            <w:tcW w:w="1800" w:type="dxa"/>
            <w:shd w:val="clear" w:color="auto" w:fill="E7E6E6"/>
            <w:vAlign w:val="center"/>
          </w:tcPr>
          <w:p w14:paraId="2BE6C0B2">
            <w:pPr>
              <w:pStyle w:val="165"/>
              <w:spacing w:after="0"/>
              <w:jc w:val="center"/>
            </w:pPr>
            <w:r>
              <w:rPr>
                <w:b/>
              </w:rPr>
              <w:t>Stratum</w:t>
            </w:r>
          </w:p>
        </w:tc>
        <w:tc>
          <w:tcPr>
            <w:tcW w:w="1152" w:type="dxa"/>
            <w:shd w:val="clear" w:color="auto" w:fill="E7E6E6"/>
            <w:vAlign w:val="center"/>
          </w:tcPr>
          <w:p w14:paraId="588B4B1A">
            <w:pPr>
              <w:pStyle w:val="165"/>
              <w:spacing w:after="0"/>
              <w:jc w:val="center"/>
            </w:pPr>
            <w:r>
              <w:rPr>
                <w:b/>
              </w:rPr>
              <w:t>N</w:t>
            </w:r>
          </w:p>
        </w:tc>
        <w:tc>
          <w:tcPr>
            <w:tcW w:w="1440" w:type="dxa"/>
            <w:shd w:val="clear" w:color="auto" w:fill="E7E6E6"/>
            <w:vAlign w:val="center"/>
          </w:tcPr>
          <w:p w14:paraId="0C9D3D42">
            <w:pPr>
              <w:pStyle w:val="165"/>
              <w:spacing w:after="0"/>
              <w:jc w:val="center"/>
            </w:pPr>
            <w:r>
              <w:rPr>
                <w:b/>
              </w:rPr>
              <w:t>Mean</w:t>
            </w:r>
          </w:p>
        </w:tc>
        <w:tc>
          <w:tcPr>
            <w:tcW w:w="1440" w:type="dxa"/>
            <w:shd w:val="clear" w:color="auto" w:fill="E7E6E6"/>
            <w:vAlign w:val="center"/>
          </w:tcPr>
          <w:p w14:paraId="5FCFDCF3">
            <w:pPr>
              <w:pStyle w:val="165"/>
              <w:spacing w:after="0"/>
              <w:jc w:val="center"/>
            </w:pPr>
            <w:r>
              <w:rPr>
                <w:b/>
              </w:rPr>
              <w:t>SD</w:t>
            </w:r>
          </w:p>
        </w:tc>
        <w:tc>
          <w:tcPr>
            <w:tcW w:w="1440" w:type="dxa"/>
            <w:shd w:val="clear" w:color="auto" w:fill="E7E6E6"/>
            <w:vAlign w:val="center"/>
          </w:tcPr>
          <w:p w14:paraId="56A1BBDC">
            <w:pPr>
              <w:pStyle w:val="165"/>
              <w:spacing w:after="0"/>
              <w:jc w:val="center"/>
            </w:pPr>
            <w:r>
              <w:rPr>
                <w:b/>
              </w:rPr>
              <w:t>Median</w:t>
            </w:r>
          </w:p>
        </w:tc>
      </w:tr>
      <w:tr w14:paraId="66510624">
        <w:trPr>
          <w:cantSplit/>
          <w:jc w:val="center"/>
        </w:trPr>
        <w:tc>
          <w:tcPr>
            <w:tcW w:w="1800" w:type="dxa"/>
            <w:vAlign w:val="center"/>
          </w:tcPr>
          <w:p w14:paraId="52350902">
            <w:pPr>
              <w:pStyle w:val="165"/>
              <w:spacing w:after="0"/>
              <w:jc w:val="left"/>
            </w:pPr>
            <w:r>
              <w:rPr>
                <w:b w:val="0"/>
              </w:rPr>
              <w:t>Stratum 1</w:t>
            </w:r>
          </w:p>
        </w:tc>
        <w:tc>
          <w:tcPr>
            <w:tcW w:w="1152" w:type="dxa"/>
            <w:vAlign w:val="center"/>
          </w:tcPr>
          <w:p w14:paraId="2E695B96">
            <w:pPr>
              <w:pStyle w:val="165"/>
              <w:spacing w:after="0"/>
              <w:jc w:val="right"/>
            </w:pPr>
            <w:r>
              <w:rPr>
                <w:b w:val="0"/>
              </w:rPr>
              <w:t>1709</w:t>
            </w:r>
          </w:p>
        </w:tc>
        <w:tc>
          <w:tcPr>
            <w:tcW w:w="1440" w:type="dxa"/>
            <w:vAlign w:val="center"/>
          </w:tcPr>
          <w:p w14:paraId="64EEF406">
            <w:pPr>
              <w:pStyle w:val="165"/>
              <w:spacing w:after="0"/>
              <w:jc w:val="right"/>
            </w:pPr>
            <w:r>
              <w:rPr>
                <w:b w:val="0"/>
              </w:rPr>
              <w:t>152.35</w:t>
            </w:r>
          </w:p>
        </w:tc>
        <w:tc>
          <w:tcPr>
            <w:tcW w:w="1440" w:type="dxa"/>
            <w:vAlign w:val="center"/>
          </w:tcPr>
          <w:p w14:paraId="3D284676">
            <w:pPr>
              <w:pStyle w:val="165"/>
              <w:spacing w:after="0"/>
              <w:jc w:val="right"/>
            </w:pPr>
            <w:r>
              <w:rPr>
                <w:b w:val="0"/>
              </w:rPr>
              <w:t>21.94</w:t>
            </w:r>
          </w:p>
        </w:tc>
        <w:tc>
          <w:tcPr>
            <w:tcW w:w="1440" w:type="dxa"/>
            <w:vAlign w:val="center"/>
          </w:tcPr>
          <w:p w14:paraId="7B7B9BDE">
            <w:pPr>
              <w:pStyle w:val="165"/>
              <w:spacing w:after="0"/>
              <w:jc w:val="right"/>
            </w:pPr>
            <w:r>
              <w:rPr>
                <w:b w:val="0"/>
              </w:rPr>
              <w:t>152.00</w:t>
            </w:r>
          </w:p>
        </w:tc>
      </w:tr>
      <w:tr w14:paraId="6976CF85">
        <w:trPr>
          <w:cantSplit/>
          <w:jc w:val="center"/>
        </w:trPr>
        <w:tc>
          <w:tcPr>
            <w:tcW w:w="1800" w:type="dxa"/>
            <w:vAlign w:val="center"/>
          </w:tcPr>
          <w:p w14:paraId="2DA6E07B">
            <w:pPr>
              <w:pStyle w:val="165"/>
              <w:spacing w:after="0"/>
              <w:jc w:val="left"/>
            </w:pPr>
            <w:r>
              <w:rPr>
                <w:b w:val="0"/>
              </w:rPr>
              <w:t>Stratum 2</w:t>
            </w:r>
          </w:p>
        </w:tc>
        <w:tc>
          <w:tcPr>
            <w:tcW w:w="1152" w:type="dxa"/>
            <w:vAlign w:val="center"/>
          </w:tcPr>
          <w:p w14:paraId="6FD4EC28">
            <w:pPr>
              <w:pStyle w:val="165"/>
              <w:spacing w:after="0"/>
              <w:jc w:val="right"/>
            </w:pPr>
            <w:r>
              <w:rPr>
                <w:b w:val="0"/>
              </w:rPr>
              <w:t>4029</w:t>
            </w:r>
          </w:p>
        </w:tc>
        <w:tc>
          <w:tcPr>
            <w:tcW w:w="1440" w:type="dxa"/>
            <w:vAlign w:val="center"/>
          </w:tcPr>
          <w:p w14:paraId="5E7E82D2">
            <w:pPr>
              <w:pStyle w:val="165"/>
              <w:spacing w:after="0"/>
              <w:jc w:val="right"/>
            </w:pPr>
            <w:r>
              <w:rPr>
                <w:b w:val="0"/>
              </w:rPr>
              <w:t>158.20</w:t>
            </w:r>
          </w:p>
        </w:tc>
        <w:tc>
          <w:tcPr>
            <w:tcW w:w="1440" w:type="dxa"/>
            <w:vAlign w:val="center"/>
          </w:tcPr>
          <w:p w14:paraId="4F74EB99">
            <w:pPr>
              <w:pStyle w:val="165"/>
              <w:spacing w:after="0"/>
              <w:jc w:val="right"/>
            </w:pPr>
            <w:r>
              <w:rPr>
                <w:b w:val="0"/>
              </w:rPr>
              <w:t>22.28</w:t>
            </w:r>
          </w:p>
        </w:tc>
        <w:tc>
          <w:tcPr>
            <w:tcW w:w="1440" w:type="dxa"/>
            <w:vAlign w:val="center"/>
          </w:tcPr>
          <w:p w14:paraId="436DCD94">
            <w:pPr>
              <w:pStyle w:val="165"/>
              <w:spacing w:after="0"/>
              <w:jc w:val="right"/>
            </w:pPr>
            <w:r>
              <w:rPr>
                <w:b w:val="0"/>
              </w:rPr>
              <w:t>158.00</w:t>
            </w:r>
          </w:p>
        </w:tc>
      </w:tr>
      <w:tr w14:paraId="3BBD81D7">
        <w:trPr>
          <w:cantSplit/>
          <w:jc w:val="center"/>
        </w:trPr>
        <w:tc>
          <w:tcPr>
            <w:tcW w:w="1800" w:type="dxa"/>
            <w:vAlign w:val="center"/>
          </w:tcPr>
          <w:p w14:paraId="6E57C39F">
            <w:pPr>
              <w:pStyle w:val="165"/>
              <w:spacing w:after="0"/>
              <w:jc w:val="left"/>
            </w:pPr>
            <w:r>
              <w:rPr>
                <w:b w:val="0"/>
              </w:rPr>
              <w:t>Stratum 3</w:t>
            </w:r>
          </w:p>
        </w:tc>
        <w:tc>
          <w:tcPr>
            <w:tcW w:w="1152" w:type="dxa"/>
            <w:vAlign w:val="center"/>
          </w:tcPr>
          <w:p w14:paraId="61ACF748">
            <w:pPr>
              <w:pStyle w:val="165"/>
              <w:spacing w:after="0"/>
              <w:jc w:val="right"/>
            </w:pPr>
            <w:r>
              <w:rPr>
                <w:b w:val="0"/>
              </w:rPr>
              <w:t>4045</w:t>
            </w:r>
          </w:p>
        </w:tc>
        <w:tc>
          <w:tcPr>
            <w:tcW w:w="1440" w:type="dxa"/>
            <w:vAlign w:val="center"/>
          </w:tcPr>
          <w:p w14:paraId="12AA9402">
            <w:pPr>
              <w:pStyle w:val="165"/>
              <w:spacing w:after="0"/>
              <w:jc w:val="right"/>
            </w:pPr>
            <w:r>
              <w:rPr>
                <w:b w:val="0"/>
              </w:rPr>
              <w:t>163.82</w:t>
            </w:r>
          </w:p>
        </w:tc>
        <w:tc>
          <w:tcPr>
            <w:tcW w:w="1440" w:type="dxa"/>
            <w:vAlign w:val="center"/>
          </w:tcPr>
          <w:p w14:paraId="7A80539D">
            <w:pPr>
              <w:pStyle w:val="165"/>
              <w:spacing w:after="0"/>
              <w:jc w:val="right"/>
            </w:pPr>
            <w:r>
              <w:rPr>
                <w:b w:val="0"/>
              </w:rPr>
              <w:t>21.69</w:t>
            </w:r>
          </w:p>
        </w:tc>
        <w:tc>
          <w:tcPr>
            <w:tcW w:w="1440" w:type="dxa"/>
            <w:vAlign w:val="center"/>
          </w:tcPr>
          <w:p w14:paraId="54DD8E7F">
            <w:pPr>
              <w:pStyle w:val="165"/>
              <w:spacing w:after="0"/>
              <w:jc w:val="right"/>
            </w:pPr>
            <w:r>
              <w:rPr>
                <w:b w:val="0"/>
              </w:rPr>
              <w:t>164.00</w:t>
            </w:r>
          </w:p>
        </w:tc>
      </w:tr>
      <w:tr w14:paraId="6D5628D7">
        <w:trPr>
          <w:cantSplit/>
          <w:jc w:val="center"/>
        </w:trPr>
        <w:tc>
          <w:tcPr>
            <w:tcW w:w="1800" w:type="dxa"/>
            <w:vAlign w:val="center"/>
          </w:tcPr>
          <w:p w14:paraId="68F4CBE4">
            <w:pPr>
              <w:pStyle w:val="165"/>
              <w:spacing w:after="0"/>
              <w:jc w:val="left"/>
            </w:pPr>
            <w:r>
              <w:rPr>
                <w:b w:val="0"/>
              </w:rPr>
              <w:t>Stratum 4</w:t>
            </w:r>
          </w:p>
        </w:tc>
        <w:tc>
          <w:tcPr>
            <w:tcW w:w="1152" w:type="dxa"/>
            <w:vAlign w:val="center"/>
          </w:tcPr>
          <w:p w14:paraId="57F288D9">
            <w:pPr>
              <w:pStyle w:val="165"/>
              <w:spacing w:after="0"/>
              <w:jc w:val="right"/>
            </w:pPr>
            <w:r>
              <w:rPr>
                <w:b w:val="0"/>
              </w:rPr>
              <w:t>1578</w:t>
            </w:r>
          </w:p>
        </w:tc>
        <w:tc>
          <w:tcPr>
            <w:tcW w:w="1440" w:type="dxa"/>
            <w:vAlign w:val="center"/>
          </w:tcPr>
          <w:p w14:paraId="1F9EF5FE">
            <w:pPr>
              <w:pStyle w:val="165"/>
              <w:spacing w:after="0"/>
              <w:jc w:val="right"/>
            </w:pPr>
            <w:r>
              <w:rPr>
                <w:b w:val="0"/>
              </w:rPr>
              <w:t>172.00</w:t>
            </w:r>
          </w:p>
        </w:tc>
        <w:tc>
          <w:tcPr>
            <w:tcW w:w="1440" w:type="dxa"/>
            <w:vAlign w:val="center"/>
          </w:tcPr>
          <w:p w14:paraId="56EE973E">
            <w:pPr>
              <w:pStyle w:val="165"/>
              <w:spacing w:after="0"/>
              <w:jc w:val="right"/>
            </w:pPr>
            <w:r>
              <w:rPr>
                <w:b w:val="0"/>
              </w:rPr>
              <w:t>21.47</w:t>
            </w:r>
          </w:p>
        </w:tc>
        <w:tc>
          <w:tcPr>
            <w:tcW w:w="1440" w:type="dxa"/>
            <w:vAlign w:val="center"/>
          </w:tcPr>
          <w:p w14:paraId="7932E313">
            <w:pPr>
              <w:pStyle w:val="165"/>
              <w:spacing w:after="0"/>
              <w:jc w:val="right"/>
            </w:pPr>
            <w:r>
              <w:rPr>
                <w:b w:val="0"/>
              </w:rPr>
              <w:t>174.00</w:t>
            </w:r>
          </w:p>
        </w:tc>
      </w:tr>
      <w:tr w14:paraId="3FBFF33D">
        <w:trPr>
          <w:cantSplit/>
          <w:jc w:val="center"/>
        </w:trPr>
        <w:tc>
          <w:tcPr>
            <w:tcW w:w="1800" w:type="dxa"/>
            <w:vAlign w:val="center"/>
          </w:tcPr>
          <w:p w14:paraId="507E6CC1">
            <w:pPr>
              <w:pStyle w:val="165"/>
              <w:spacing w:after="0"/>
              <w:jc w:val="left"/>
            </w:pPr>
            <w:r>
              <w:rPr>
                <w:b w:val="0"/>
              </w:rPr>
              <w:t>Stratum 5</w:t>
            </w:r>
          </w:p>
        </w:tc>
        <w:tc>
          <w:tcPr>
            <w:tcW w:w="1152" w:type="dxa"/>
            <w:vAlign w:val="center"/>
          </w:tcPr>
          <w:p w14:paraId="00C0EE28">
            <w:pPr>
              <w:pStyle w:val="165"/>
              <w:spacing w:after="0"/>
              <w:jc w:val="right"/>
            </w:pPr>
            <w:r>
              <w:rPr>
                <w:b w:val="0"/>
              </w:rPr>
              <w:t>633</w:t>
            </w:r>
          </w:p>
        </w:tc>
        <w:tc>
          <w:tcPr>
            <w:tcW w:w="1440" w:type="dxa"/>
            <w:vAlign w:val="center"/>
          </w:tcPr>
          <w:p w14:paraId="54AFEC7B">
            <w:pPr>
              <w:pStyle w:val="165"/>
              <w:spacing w:after="0"/>
              <w:jc w:val="right"/>
            </w:pPr>
            <w:r>
              <w:rPr>
                <w:b w:val="0"/>
              </w:rPr>
              <w:t>177.39</w:t>
            </w:r>
          </w:p>
        </w:tc>
        <w:tc>
          <w:tcPr>
            <w:tcW w:w="1440" w:type="dxa"/>
            <w:vAlign w:val="center"/>
          </w:tcPr>
          <w:p w14:paraId="0D6323FF">
            <w:pPr>
              <w:pStyle w:val="165"/>
              <w:spacing w:after="0"/>
              <w:jc w:val="right"/>
            </w:pPr>
            <w:r>
              <w:rPr>
                <w:b w:val="0"/>
              </w:rPr>
              <w:t>21.54</w:t>
            </w:r>
          </w:p>
        </w:tc>
        <w:tc>
          <w:tcPr>
            <w:tcW w:w="1440" w:type="dxa"/>
            <w:vAlign w:val="center"/>
          </w:tcPr>
          <w:p w14:paraId="7B268DEE">
            <w:pPr>
              <w:pStyle w:val="165"/>
              <w:spacing w:after="0"/>
              <w:jc w:val="right"/>
            </w:pPr>
            <w:r>
              <w:rPr>
                <w:b w:val="0"/>
              </w:rPr>
              <w:t>179.00</w:t>
            </w:r>
          </w:p>
        </w:tc>
      </w:tr>
      <w:tr w14:paraId="359A89A3">
        <w:trPr>
          <w:cantSplit/>
          <w:jc w:val="center"/>
        </w:trPr>
        <w:tc>
          <w:tcPr>
            <w:tcW w:w="1800" w:type="dxa"/>
            <w:vAlign w:val="center"/>
          </w:tcPr>
          <w:p w14:paraId="166ED78F">
            <w:pPr>
              <w:pStyle w:val="165"/>
              <w:spacing w:after="0"/>
              <w:jc w:val="left"/>
            </w:pPr>
            <w:r>
              <w:rPr>
                <w:b w:val="0"/>
              </w:rPr>
              <w:t>Stratum 6</w:t>
            </w:r>
          </w:p>
        </w:tc>
        <w:tc>
          <w:tcPr>
            <w:tcW w:w="1152" w:type="dxa"/>
            <w:vAlign w:val="center"/>
          </w:tcPr>
          <w:p w14:paraId="747AFA40">
            <w:pPr>
              <w:pStyle w:val="165"/>
              <w:spacing w:after="0"/>
              <w:jc w:val="right"/>
            </w:pPr>
            <w:r>
              <w:rPr>
                <w:b w:val="0"/>
              </w:rPr>
              <w:t>403</w:t>
            </w:r>
          </w:p>
        </w:tc>
        <w:tc>
          <w:tcPr>
            <w:tcW w:w="1440" w:type="dxa"/>
            <w:vAlign w:val="center"/>
          </w:tcPr>
          <w:p w14:paraId="72184B56">
            <w:pPr>
              <w:pStyle w:val="165"/>
              <w:spacing w:after="0"/>
              <w:jc w:val="right"/>
            </w:pPr>
            <w:r>
              <w:rPr>
                <w:b w:val="0"/>
              </w:rPr>
              <w:t>181.51</w:t>
            </w:r>
          </w:p>
        </w:tc>
        <w:tc>
          <w:tcPr>
            <w:tcW w:w="1440" w:type="dxa"/>
            <w:vAlign w:val="center"/>
          </w:tcPr>
          <w:p w14:paraId="6EE200C2">
            <w:pPr>
              <w:pStyle w:val="165"/>
              <w:spacing w:after="0"/>
              <w:jc w:val="right"/>
            </w:pPr>
            <w:r>
              <w:rPr>
                <w:b w:val="0"/>
              </w:rPr>
              <w:t>21.88</w:t>
            </w:r>
          </w:p>
        </w:tc>
        <w:tc>
          <w:tcPr>
            <w:tcW w:w="1440" w:type="dxa"/>
            <w:vAlign w:val="center"/>
          </w:tcPr>
          <w:p w14:paraId="4D71A5A7">
            <w:pPr>
              <w:pStyle w:val="165"/>
              <w:spacing w:after="0"/>
              <w:jc w:val="right"/>
            </w:pPr>
            <w:r>
              <w:rPr>
                <w:b w:val="0"/>
              </w:rPr>
              <w:t>184.00</w:t>
            </w:r>
          </w:p>
        </w:tc>
      </w:tr>
    </w:tbl>
    <w:p w14:paraId="0B82DA00">
      <w:pPr>
        <w:pStyle w:val="164"/>
        <w:jc w:val="center"/>
      </w:pPr>
      <w:r>
        <w:t>Table B2. Global score by mother's education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7D2CAF1E">
        <w:trPr>
          <w:cantSplit/>
          <w:jc w:val="center"/>
        </w:trPr>
        <w:tc>
          <w:tcPr>
            <w:tcW w:w="4608" w:type="dxa"/>
            <w:shd w:val="clear" w:color="auto" w:fill="E7E6E6"/>
            <w:vAlign w:val="center"/>
          </w:tcPr>
          <w:p w14:paraId="140B1DA8">
            <w:pPr>
              <w:pStyle w:val="165"/>
              <w:spacing w:after="0"/>
              <w:jc w:val="center"/>
            </w:pPr>
            <w:r>
              <w:rPr>
                <w:b/>
              </w:rPr>
              <w:t>Mother's education</w:t>
            </w:r>
          </w:p>
        </w:tc>
        <w:tc>
          <w:tcPr>
            <w:tcW w:w="1008" w:type="dxa"/>
            <w:shd w:val="clear" w:color="auto" w:fill="E7E6E6"/>
            <w:vAlign w:val="center"/>
          </w:tcPr>
          <w:p w14:paraId="68D2AB0D">
            <w:pPr>
              <w:pStyle w:val="165"/>
              <w:spacing w:after="0"/>
              <w:jc w:val="center"/>
            </w:pPr>
            <w:r>
              <w:rPr>
                <w:b/>
              </w:rPr>
              <w:t>N</w:t>
            </w:r>
          </w:p>
        </w:tc>
        <w:tc>
          <w:tcPr>
            <w:tcW w:w="1296" w:type="dxa"/>
            <w:shd w:val="clear" w:color="auto" w:fill="E7E6E6"/>
            <w:vAlign w:val="center"/>
          </w:tcPr>
          <w:p w14:paraId="04FA5597">
            <w:pPr>
              <w:pStyle w:val="165"/>
              <w:spacing w:after="0"/>
              <w:jc w:val="center"/>
            </w:pPr>
            <w:r>
              <w:rPr>
                <w:b/>
              </w:rPr>
              <w:t>Mean</w:t>
            </w:r>
          </w:p>
        </w:tc>
        <w:tc>
          <w:tcPr>
            <w:tcW w:w="1296" w:type="dxa"/>
            <w:shd w:val="clear" w:color="auto" w:fill="E7E6E6"/>
            <w:vAlign w:val="center"/>
          </w:tcPr>
          <w:p w14:paraId="763D8233">
            <w:pPr>
              <w:pStyle w:val="165"/>
              <w:spacing w:after="0"/>
              <w:jc w:val="center"/>
            </w:pPr>
            <w:r>
              <w:rPr>
                <w:b/>
              </w:rPr>
              <w:t>SD</w:t>
            </w:r>
          </w:p>
        </w:tc>
      </w:tr>
      <w:tr w14:paraId="7C605547">
        <w:trPr>
          <w:cantSplit/>
          <w:jc w:val="center"/>
        </w:trPr>
        <w:tc>
          <w:tcPr>
            <w:tcW w:w="4608" w:type="dxa"/>
            <w:vAlign w:val="center"/>
          </w:tcPr>
          <w:p w14:paraId="31F6BDB6">
            <w:pPr>
              <w:pStyle w:val="165"/>
              <w:spacing w:after="0"/>
              <w:jc w:val="left"/>
            </w:pPr>
            <w:r>
              <w:rPr>
                <w:b w:val="0"/>
              </w:rPr>
              <w:t>No education (Ninguno)</w:t>
            </w:r>
          </w:p>
        </w:tc>
        <w:tc>
          <w:tcPr>
            <w:tcW w:w="1008" w:type="dxa"/>
            <w:vAlign w:val="center"/>
          </w:tcPr>
          <w:p w14:paraId="2BDFB20C">
            <w:pPr>
              <w:pStyle w:val="165"/>
              <w:spacing w:after="0"/>
              <w:jc w:val="right"/>
            </w:pPr>
            <w:r>
              <w:rPr>
                <w:b w:val="0"/>
              </w:rPr>
              <w:t>34</w:t>
            </w:r>
          </w:p>
        </w:tc>
        <w:tc>
          <w:tcPr>
            <w:tcW w:w="1296" w:type="dxa"/>
            <w:vAlign w:val="center"/>
          </w:tcPr>
          <w:p w14:paraId="4A85CFD3">
            <w:pPr>
              <w:pStyle w:val="165"/>
              <w:spacing w:after="0"/>
              <w:jc w:val="right"/>
            </w:pPr>
            <w:r>
              <w:rPr>
                <w:b w:val="0"/>
              </w:rPr>
              <w:t>149.71</w:t>
            </w:r>
          </w:p>
        </w:tc>
        <w:tc>
          <w:tcPr>
            <w:tcW w:w="1296" w:type="dxa"/>
            <w:vAlign w:val="center"/>
          </w:tcPr>
          <w:p w14:paraId="3BEB0862">
            <w:pPr>
              <w:pStyle w:val="165"/>
              <w:spacing w:after="0"/>
              <w:jc w:val="right"/>
            </w:pPr>
            <w:r>
              <w:rPr>
                <w:b w:val="0"/>
              </w:rPr>
              <w:t>27.93</w:t>
            </w:r>
          </w:p>
        </w:tc>
      </w:tr>
      <w:tr w14:paraId="2B4981CB">
        <w:trPr>
          <w:cantSplit/>
          <w:jc w:val="center"/>
        </w:trPr>
        <w:tc>
          <w:tcPr>
            <w:tcW w:w="4608" w:type="dxa"/>
            <w:vAlign w:val="center"/>
          </w:tcPr>
          <w:p w14:paraId="2D9160F5">
            <w:pPr>
              <w:pStyle w:val="165"/>
              <w:spacing w:after="0"/>
              <w:jc w:val="left"/>
            </w:pPr>
            <w:r>
              <w:rPr>
                <w:b w:val="0"/>
              </w:rPr>
              <w:t>Incomplete primary</w:t>
            </w:r>
          </w:p>
        </w:tc>
        <w:tc>
          <w:tcPr>
            <w:tcW w:w="1008" w:type="dxa"/>
            <w:vAlign w:val="center"/>
          </w:tcPr>
          <w:p w14:paraId="02A2E3A2">
            <w:pPr>
              <w:pStyle w:val="165"/>
              <w:spacing w:after="0"/>
              <w:jc w:val="right"/>
            </w:pPr>
            <w:r>
              <w:rPr>
                <w:b w:val="0"/>
              </w:rPr>
              <w:t>541</w:t>
            </w:r>
          </w:p>
        </w:tc>
        <w:tc>
          <w:tcPr>
            <w:tcW w:w="1296" w:type="dxa"/>
            <w:vAlign w:val="center"/>
          </w:tcPr>
          <w:p w14:paraId="3FE67137">
            <w:pPr>
              <w:pStyle w:val="165"/>
              <w:spacing w:after="0"/>
              <w:jc w:val="right"/>
            </w:pPr>
            <w:r>
              <w:rPr>
                <w:b w:val="0"/>
              </w:rPr>
              <w:t>154.85</w:t>
            </w:r>
          </w:p>
        </w:tc>
        <w:tc>
          <w:tcPr>
            <w:tcW w:w="1296" w:type="dxa"/>
            <w:vAlign w:val="center"/>
          </w:tcPr>
          <w:p w14:paraId="0AB406BD">
            <w:pPr>
              <w:pStyle w:val="165"/>
              <w:spacing w:after="0"/>
              <w:jc w:val="right"/>
            </w:pPr>
            <w:r>
              <w:rPr>
                <w:b w:val="0"/>
              </w:rPr>
              <w:t>21.64</w:t>
            </w:r>
          </w:p>
        </w:tc>
      </w:tr>
      <w:tr w14:paraId="4287BD48">
        <w:trPr>
          <w:cantSplit/>
          <w:jc w:val="center"/>
        </w:trPr>
        <w:tc>
          <w:tcPr>
            <w:tcW w:w="4608" w:type="dxa"/>
            <w:vAlign w:val="center"/>
          </w:tcPr>
          <w:p w14:paraId="46B41C00">
            <w:pPr>
              <w:pStyle w:val="165"/>
              <w:spacing w:after="0"/>
              <w:jc w:val="left"/>
            </w:pPr>
            <w:r>
              <w:rPr>
                <w:b w:val="0"/>
              </w:rPr>
              <w:t>Complete primary</w:t>
            </w:r>
          </w:p>
        </w:tc>
        <w:tc>
          <w:tcPr>
            <w:tcW w:w="1008" w:type="dxa"/>
            <w:vAlign w:val="center"/>
          </w:tcPr>
          <w:p w14:paraId="101E19F3">
            <w:pPr>
              <w:pStyle w:val="165"/>
              <w:spacing w:after="0"/>
              <w:jc w:val="right"/>
            </w:pPr>
            <w:r>
              <w:rPr>
                <w:b w:val="0"/>
              </w:rPr>
              <w:t>713</w:t>
            </w:r>
          </w:p>
        </w:tc>
        <w:tc>
          <w:tcPr>
            <w:tcW w:w="1296" w:type="dxa"/>
            <w:vAlign w:val="center"/>
          </w:tcPr>
          <w:p w14:paraId="0E15F60F">
            <w:pPr>
              <w:pStyle w:val="165"/>
              <w:spacing w:after="0"/>
              <w:jc w:val="right"/>
            </w:pPr>
            <w:r>
              <w:rPr>
                <w:b w:val="0"/>
              </w:rPr>
              <w:t>155.34</w:t>
            </w:r>
          </w:p>
        </w:tc>
        <w:tc>
          <w:tcPr>
            <w:tcW w:w="1296" w:type="dxa"/>
            <w:vAlign w:val="center"/>
          </w:tcPr>
          <w:p w14:paraId="197A36C3">
            <w:pPr>
              <w:pStyle w:val="165"/>
              <w:spacing w:after="0"/>
              <w:jc w:val="right"/>
            </w:pPr>
            <w:r>
              <w:rPr>
                <w:b w:val="0"/>
              </w:rPr>
              <w:t>22.01</w:t>
            </w:r>
          </w:p>
        </w:tc>
      </w:tr>
      <w:tr w14:paraId="26054DD5">
        <w:trPr>
          <w:cantSplit/>
          <w:jc w:val="center"/>
        </w:trPr>
        <w:tc>
          <w:tcPr>
            <w:tcW w:w="4608" w:type="dxa"/>
            <w:vAlign w:val="center"/>
          </w:tcPr>
          <w:p w14:paraId="3146E124">
            <w:pPr>
              <w:pStyle w:val="165"/>
              <w:spacing w:after="0"/>
              <w:jc w:val="left"/>
            </w:pPr>
            <w:r>
              <w:rPr>
                <w:b w:val="0"/>
              </w:rPr>
              <w:t>Incomplete secondary</w:t>
            </w:r>
          </w:p>
        </w:tc>
        <w:tc>
          <w:tcPr>
            <w:tcW w:w="1008" w:type="dxa"/>
            <w:vAlign w:val="center"/>
          </w:tcPr>
          <w:p w14:paraId="7925F64F">
            <w:pPr>
              <w:pStyle w:val="165"/>
              <w:spacing w:after="0"/>
              <w:jc w:val="right"/>
            </w:pPr>
            <w:r>
              <w:rPr>
                <w:b w:val="0"/>
              </w:rPr>
              <w:t>1056</w:t>
            </w:r>
          </w:p>
        </w:tc>
        <w:tc>
          <w:tcPr>
            <w:tcW w:w="1296" w:type="dxa"/>
            <w:vAlign w:val="center"/>
          </w:tcPr>
          <w:p w14:paraId="1D35201A">
            <w:pPr>
              <w:pStyle w:val="165"/>
              <w:spacing w:after="0"/>
              <w:jc w:val="right"/>
            </w:pPr>
            <w:r>
              <w:rPr>
                <w:b w:val="0"/>
              </w:rPr>
              <w:t>155.67</w:t>
            </w:r>
          </w:p>
        </w:tc>
        <w:tc>
          <w:tcPr>
            <w:tcW w:w="1296" w:type="dxa"/>
            <w:vAlign w:val="center"/>
          </w:tcPr>
          <w:p w14:paraId="7BFC141B">
            <w:pPr>
              <w:pStyle w:val="165"/>
              <w:spacing w:after="0"/>
              <w:jc w:val="right"/>
            </w:pPr>
            <w:r>
              <w:rPr>
                <w:b w:val="0"/>
              </w:rPr>
              <w:t>21.93</w:t>
            </w:r>
          </w:p>
        </w:tc>
      </w:tr>
      <w:tr w14:paraId="4F9C707E">
        <w:trPr>
          <w:cantSplit/>
          <w:jc w:val="center"/>
        </w:trPr>
        <w:tc>
          <w:tcPr>
            <w:tcW w:w="4608" w:type="dxa"/>
            <w:vAlign w:val="center"/>
          </w:tcPr>
          <w:p w14:paraId="156486DA">
            <w:pPr>
              <w:pStyle w:val="165"/>
              <w:spacing w:after="0"/>
              <w:jc w:val="left"/>
            </w:pPr>
            <w:r>
              <w:rPr>
                <w:b w:val="0"/>
              </w:rPr>
              <w:t>Complete secondary</w:t>
            </w:r>
          </w:p>
        </w:tc>
        <w:tc>
          <w:tcPr>
            <w:tcW w:w="1008" w:type="dxa"/>
            <w:vAlign w:val="center"/>
          </w:tcPr>
          <w:p w14:paraId="30D711BF">
            <w:pPr>
              <w:pStyle w:val="165"/>
              <w:spacing w:after="0"/>
              <w:jc w:val="right"/>
            </w:pPr>
            <w:r>
              <w:rPr>
                <w:b w:val="0"/>
              </w:rPr>
              <w:t>3106</w:t>
            </w:r>
          </w:p>
        </w:tc>
        <w:tc>
          <w:tcPr>
            <w:tcW w:w="1296" w:type="dxa"/>
            <w:vAlign w:val="center"/>
          </w:tcPr>
          <w:p w14:paraId="5C069691">
            <w:pPr>
              <w:pStyle w:val="165"/>
              <w:spacing w:after="0"/>
              <w:jc w:val="right"/>
            </w:pPr>
            <w:r>
              <w:rPr>
                <w:b w:val="0"/>
              </w:rPr>
              <w:t>158.47</w:t>
            </w:r>
          </w:p>
        </w:tc>
        <w:tc>
          <w:tcPr>
            <w:tcW w:w="1296" w:type="dxa"/>
            <w:vAlign w:val="center"/>
          </w:tcPr>
          <w:p w14:paraId="3C126B14">
            <w:pPr>
              <w:pStyle w:val="165"/>
              <w:spacing w:after="0"/>
              <w:jc w:val="right"/>
            </w:pPr>
            <w:r>
              <w:rPr>
                <w:b w:val="0"/>
              </w:rPr>
              <w:t>21.95</w:t>
            </w:r>
          </w:p>
        </w:tc>
      </w:tr>
      <w:tr w14:paraId="3138025D">
        <w:trPr>
          <w:cantSplit/>
          <w:jc w:val="center"/>
        </w:trPr>
        <w:tc>
          <w:tcPr>
            <w:tcW w:w="4608" w:type="dxa"/>
            <w:vAlign w:val="center"/>
          </w:tcPr>
          <w:p w14:paraId="6F317857">
            <w:pPr>
              <w:pStyle w:val="165"/>
              <w:spacing w:after="0"/>
              <w:jc w:val="left"/>
            </w:pPr>
            <w:r>
              <w:rPr>
                <w:b w:val="0"/>
              </w:rPr>
              <w:t>Incomplete technical/technology</w:t>
            </w:r>
          </w:p>
        </w:tc>
        <w:tc>
          <w:tcPr>
            <w:tcW w:w="1008" w:type="dxa"/>
            <w:vAlign w:val="center"/>
          </w:tcPr>
          <w:p w14:paraId="083B5A72">
            <w:pPr>
              <w:pStyle w:val="165"/>
              <w:spacing w:after="0"/>
              <w:jc w:val="right"/>
            </w:pPr>
            <w:r>
              <w:rPr>
                <w:b w:val="0"/>
              </w:rPr>
              <w:t>341</w:t>
            </w:r>
          </w:p>
        </w:tc>
        <w:tc>
          <w:tcPr>
            <w:tcW w:w="1296" w:type="dxa"/>
            <w:vAlign w:val="center"/>
          </w:tcPr>
          <w:p w14:paraId="59A86B59">
            <w:pPr>
              <w:pStyle w:val="165"/>
              <w:spacing w:after="0"/>
              <w:jc w:val="right"/>
            </w:pPr>
            <w:r>
              <w:rPr>
                <w:b w:val="0"/>
              </w:rPr>
              <w:t>161.88</w:t>
            </w:r>
          </w:p>
        </w:tc>
        <w:tc>
          <w:tcPr>
            <w:tcW w:w="1296" w:type="dxa"/>
            <w:vAlign w:val="center"/>
          </w:tcPr>
          <w:p w14:paraId="1700C73F">
            <w:pPr>
              <w:pStyle w:val="165"/>
              <w:spacing w:after="0"/>
              <w:jc w:val="right"/>
            </w:pPr>
            <w:r>
              <w:rPr>
                <w:b w:val="0"/>
              </w:rPr>
              <w:t>20.74</w:t>
            </w:r>
          </w:p>
        </w:tc>
      </w:tr>
      <w:tr w14:paraId="7B38ED17">
        <w:trPr>
          <w:cantSplit/>
          <w:jc w:val="center"/>
        </w:trPr>
        <w:tc>
          <w:tcPr>
            <w:tcW w:w="4608" w:type="dxa"/>
            <w:vAlign w:val="center"/>
          </w:tcPr>
          <w:p w14:paraId="45ECA5A9">
            <w:pPr>
              <w:pStyle w:val="165"/>
              <w:spacing w:after="0"/>
              <w:jc w:val="left"/>
            </w:pPr>
            <w:r>
              <w:rPr>
                <w:b w:val="0"/>
              </w:rPr>
              <w:t>Complete technical/technology</w:t>
            </w:r>
          </w:p>
        </w:tc>
        <w:tc>
          <w:tcPr>
            <w:tcW w:w="1008" w:type="dxa"/>
            <w:vAlign w:val="center"/>
          </w:tcPr>
          <w:p w14:paraId="58E178BB">
            <w:pPr>
              <w:pStyle w:val="165"/>
              <w:spacing w:after="0"/>
              <w:jc w:val="right"/>
            </w:pPr>
            <w:r>
              <w:rPr>
                <w:b w:val="0"/>
              </w:rPr>
              <w:t>1495</w:t>
            </w:r>
          </w:p>
        </w:tc>
        <w:tc>
          <w:tcPr>
            <w:tcW w:w="1296" w:type="dxa"/>
            <w:vAlign w:val="center"/>
          </w:tcPr>
          <w:p w14:paraId="4014092A">
            <w:pPr>
              <w:pStyle w:val="165"/>
              <w:spacing w:after="0"/>
              <w:jc w:val="right"/>
            </w:pPr>
            <w:r>
              <w:rPr>
                <w:b w:val="0"/>
              </w:rPr>
              <w:t>163.24</w:t>
            </w:r>
          </w:p>
        </w:tc>
        <w:tc>
          <w:tcPr>
            <w:tcW w:w="1296" w:type="dxa"/>
            <w:vAlign w:val="center"/>
          </w:tcPr>
          <w:p w14:paraId="4B74703A">
            <w:pPr>
              <w:pStyle w:val="165"/>
              <w:spacing w:after="0"/>
              <w:jc w:val="right"/>
            </w:pPr>
            <w:r>
              <w:rPr>
                <w:b w:val="0"/>
              </w:rPr>
              <w:t>21.94</w:t>
            </w:r>
          </w:p>
        </w:tc>
      </w:tr>
      <w:tr w14:paraId="224CD327">
        <w:trPr>
          <w:cantSplit/>
          <w:jc w:val="center"/>
        </w:trPr>
        <w:tc>
          <w:tcPr>
            <w:tcW w:w="4608" w:type="dxa"/>
            <w:vAlign w:val="center"/>
          </w:tcPr>
          <w:p w14:paraId="3FAD5FC2">
            <w:pPr>
              <w:pStyle w:val="165"/>
              <w:spacing w:after="0"/>
              <w:jc w:val="left"/>
            </w:pPr>
            <w:r>
              <w:rPr>
                <w:b w:val="0"/>
              </w:rPr>
              <w:t>Incomplete professional</w:t>
            </w:r>
          </w:p>
        </w:tc>
        <w:tc>
          <w:tcPr>
            <w:tcW w:w="1008" w:type="dxa"/>
            <w:vAlign w:val="center"/>
          </w:tcPr>
          <w:p w14:paraId="1D15FCD0">
            <w:pPr>
              <w:pStyle w:val="165"/>
              <w:spacing w:after="0"/>
              <w:jc w:val="right"/>
            </w:pPr>
            <w:r>
              <w:rPr>
                <w:b w:val="0"/>
              </w:rPr>
              <w:t>502</w:t>
            </w:r>
          </w:p>
        </w:tc>
        <w:tc>
          <w:tcPr>
            <w:tcW w:w="1296" w:type="dxa"/>
            <w:vAlign w:val="center"/>
          </w:tcPr>
          <w:p w14:paraId="5619F145">
            <w:pPr>
              <w:pStyle w:val="165"/>
              <w:spacing w:after="0"/>
              <w:jc w:val="right"/>
            </w:pPr>
            <w:r>
              <w:rPr>
                <w:b w:val="0"/>
              </w:rPr>
              <w:t>166.69</w:t>
            </w:r>
          </w:p>
        </w:tc>
        <w:tc>
          <w:tcPr>
            <w:tcW w:w="1296" w:type="dxa"/>
            <w:vAlign w:val="center"/>
          </w:tcPr>
          <w:p w14:paraId="085105EF">
            <w:pPr>
              <w:pStyle w:val="165"/>
              <w:spacing w:after="0"/>
              <w:jc w:val="right"/>
            </w:pPr>
            <w:r>
              <w:rPr>
                <w:b w:val="0"/>
              </w:rPr>
              <w:t>22.93</w:t>
            </w:r>
          </w:p>
        </w:tc>
      </w:tr>
      <w:tr w14:paraId="28A71996">
        <w:trPr>
          <w:cantSplit/>
          <w:jc w:val="center"/>
        </w:trPr>
        <w:tc>
          <w:tcPr>
            <w:tcW w:w="4608" w:type="dxa"/>
            <w:vAlign w:val="center"/>
          </w:tcPr>
          <w:p w14:paraId="7DB42A97">
            <w:pPr>
              <w:pStyle w:val="165"/>
              <w:spacing w:after="0"/>
              <w:jc w:val="left"/>
            </w:pPr>
            <w:r>
              <w:rPr>
                <w:b w:val="0"/>
              </w:rPr>
              <w:t>Complete professional</w:t>
            </w:r>
          </w:p>
        </w:tc>
        <w:tc>
          <w:tcPr>
            <w:tcW w:w="1008" w:type="dxa"/>
            <w:vAlign w:val="center"/>
          </w:tcPr>
          <w:p w14:paraId="6F020BE8">
            <w:pPr>
              <w:pStyle w:val="165"/>
              <w:spacing w:after="0"/>
              <w:jc w:val="right"/>
            </w:pPr>
            <w:r>
              <w:rPr>
                <w:b w:val="0"/>
              </w:rPr>
              <w:t>3059</w:t>
            </w:r>
          </w:p>
        </w:tc>
        <w:tc>
          <w:tcPr>
            <w:tcW w:w="1296" w:type="dxa"/>
            <w:vAlign w:val="center"/>
          </w:tcPr>
          <w:p w14:paraId="24263580">
            <w:pPr>
              <w:pStyle w:val="165"/>
              <w:spacing w:after="0"/>
              <w:jc w:val="right"/>
            </w:pPr>
            <w:r>
              <w:rPr>
                <w:b w:val="0"/>
              </w:rPr>
              <w:t>168.85</w:t>
            </w:r>
          </w:p>
        </w:tc>
        <w:tc>
          <w:tcPr>
            <w:tcW w:w="1296" w:type="dxa"/>
            <w:vAlign w:val="center"/>
          </w:tcPr>
          <w:p w14:paraId="2E23ED58">
            <w:pPr>
              <w:pStyle w:val="165"/>
              <w:spacing w:after="0"/>
              <w:jc w:val="right"/>
            </w:pPr>
            <w:r>
              <w:rPr>
                <w:b w:val="0"/>
              </w:rPr>
              <w:t>22.98</w:t>
            </w:r>
          </w:p>
        </w:tc>
      </w:tr>
      <w:tr w14:paraId="549A1405">
        <w:trPr>
          <w:cantSplit/>
          <w:jc w:val="center"/>
        </w:trPr>
        <w:tc>
          <w:tcPr>
            <w:tcW w:w="4608" w:type="dxa"/>
            <w:vAlign w:val="center"/>
          </w:tcPr>
          <w:p w14:paraId="24D68A22">
            <w:pPr>
              <w:pStyle w:val="165"/>
              <w:spacing w:after="0"/>
              <w:jc w:val="left"/>
            </w:pPr>
            <w:r>
              <w:rPr>
                <w:b w:val="0"/>
              </w:rPr>
              <w:t>Postgraduate</w:t>
            </w:r>
          </w:p>
        </w:tc>
        <w:tc>
          <w:tcPr>
            <w:tcW w:w="1008" w:type="dxa"/>
            <w:vAlign w:val="center"/>
          </w:tcPr>
          <w:p w14:paraId="6690DD97">
            <w:pPr>
              <w:pStyle w:val="165"/>
              <w:spacing w:after="0"/>
              <w:jc w:val="right"/>
            </w:pPr>
            <w:r>
              <w:rPr>
                <w:b w:val="0"/>
              </w:rPr>
              <w:t>997</w:t>
            </w:r>
          </w:p>
        </w:tc>
        <w:tc>
          <w:tcPr>
            <w:tcW w:w="1296" w:type="dxa"/>
            <w:vAlign w:val="center"/>
          </w:tcPr>
          <w:p w14:paraId="48829B78">
            <w:pPr>
              <w:pStyle w:val="165"/>
              <w:spacing w:after="0"/>
              <w:jc w:val="right"/>
            </w:pPr>
            <w:r>
              <w:rPr>
                <w:b w:val="0"/>
              </w:rPr>
              <w:t>175.64</w:t>
            </w:r>
          </w:p>
        </w:tc>
        <w:tc>
          <w:tcPr>
            <w:tcW w:w="1296" w:type="dxa"/>
            <w:vAlign w:val="center"/>
          </w:tcPr>
          <w:p w14:paraId="55F2CED5">
            <w:pPr>
              <w:pStyle w:val="165"/>
              <w:spacing w:after="0"/>
              <w:jc w:val="right"/>
            </w:pPr>
            <w:r>
              <w:rPr>
                <w:b w:val="0"/>
              </w:rPr>
              <w:t>22.12</w:t>
            </w:r>
          </w:p>
        </w:tc>
      </w:tr>
    </w:tbl>
    <w:p w14:paraId="6FF39B4C">
      <w:pPr>
        <w:pStyle w:val="164"/>
        <w:jc w:val="center"/>
      </w:pPr>
      <w:r>
        <w:t>Table B3. Global score by father's education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4E764BA4">
        <w:trPr>
          <w:cantSplit/>
          <w:jc w:val="center"/>
        </w:trPr>
        <w:tc>
          <w:tcPr>
            <w:tcW w:w="4608" w:type="dxa"/>
            <w:shd w:val="clear" w:color="auto" w:fill="E7E6E6"/>
            <w:vAlign w:val="center"/>
          </w:tcPr>
          <w:p w14:paraId="57EF7614">
            <w:pPr>
              <w:pStyle w:val="165"/>
              <w:spacing w:after="0"/>
              <w:jc w:val="center"/>
            </w:pPr>
            <w:r>
              <w:rPr>
                <w:b/>
              </w:rPr>
              <w:t>Father's education</w:t>
            </w:r>
          </w:p>
        </w:tc>
        <w:tc>
          <w:tcPr>
            <w:tcW w:w="1008" w:type="dxa"/>
            <w:shd w:val="clear" w:color="auto" w:fill="E7E6E6"/>
            <w:vAlign w:val="center"/>
          </w:tcPr>
          <w:p w14:paraId="208970B2">
            <w:pPr>
              <w:pStyle w:val="165"/>
              <w:spacing w:after="0"/>
              <w:jc w:val="center"/>
            </w:pPr>
            <w:r>
              <w:rPr>
                <w:b/>
              </w:rPr>
              <w:t>N</w:t>
            </w:r>
          </w:p>
        </w:tc>
        <w:tc>
          <w:tcPr>
            <w:tcW w:w="1296" w:type="dxa"/>
            <w:shd w:val="clear" w:color="auto" w:fill="E7E6E6"/>
            <w:vAlign w:val="center"/>
          </w:tcPr>
          <w:p w14:paraId="3E0532D8">
            <w:pPr>
              <w:pStyle w:val="165"/>
              <w:spacing w:after="0"/>
              <w:jc w:val="center"/>
            </w:pPr>
            <w:r>
              <w:rPr>
                <w:b/>
              </w:rPr>
              <w:t>Mean</w:t>
            </w:r>
          </w:p>
        </w:tc>
        <w:tc>
          <w:tcPr>
            <w:tcW w:w="1296" w:type="dxa"/>
            <w:shd w:val="clear" w:color="auto" w:fill="E7E6E6"/>
            <w:vAlign w:val="center"/>
          </w:tcPr>
          <w:p w14:paraId="319FDBB8">
            <w:pPr>
              <w:pStyle w:val="165"/>
              <w:spacing w:after="0"/>
              <w:jc w:val="center"/>
            </w:pPr>
            <w:r>
              <w:rPr>
                <w:b/>
              </w:rPr>
              <w:t>SD</w:t>
            </w:r>
          </w:p>
        </w:tc>
      </w:tr>
      <w:tr w14:paraId="435E9D23">
        <w:trPr>
          <w:cantSplit/>
          <w:jc w:val="center"/>
        </w:trPr>
        <w:tc>
          <w:tcPr>
            <w:tcW w:w="4608" w:type="dxa"/>
            <w:vAlign w:val="center"/>
          </w:tcPr>
          <w:p w14:paraId="3218B4A6">
            <w:pPr>
              <w:pStyle w:val="165"/>
              <w:spacing w:after="0"/>
              <w:jc w:val="left"/>
            </w:pPr>
            <w:r>
              <w:rPr>
                <w:b w:val="0"/>
              </w:rPr>
              <w:t>No education (Ninguno)</w:t>
            </w:r>
          </w:p>
        </w:tc>
        <w:tc>
          <w:tcPr>
            <w:tcW w:w="1008" w:type="dxa"/>
            <w:vAlign w:val="center"/>
          </w:tcPr>
          <w:p w14:paraId="3AAD6ED3">
            <w:pPr>
              <w:pStyle w:val="165"/>
              <w:spacing w:after="0"/>
              <w:jc w:val="right"/>
            </w:pPr>
            <w:r>
              <w:rPr>
                <w:b w:val="0"/>
              </w:rPr>
              <w:t>123</w:t>
            </w:r>
          </w:p>
        </w:tc>
        <w:tc>
          <w:tcPr>
            <w:tcW w:w="1296" w:type="dxa"/>
            <w:vAlign w:val="center"/>
          </w:tcPr>
          <w:p w14:paraId="273B7F64">
            <w:pPr>
              <w:pStyle w:val="165"/>
              <w:spacing w:after="0"/>
              <w:jc w:val="right"/>
            </w:pPr>
            <w:r>
              <w:rPr>
                <w:b w:val="0"/>
              </w:rPr>
              <w:t>156.63</w:t>
            </w:r>
          </w:p>
        </w:tc>
        <w:tc>
          <w:tcPr>
            <w:tcW w:w="1296" w:type="dxa"/>
            <w:vAlign w:val="center"/>
          </w:tcPr>
          <w:p w14:paraId="6B410D21">
            <w:pPr>
              <w:pStyle w:val="165"/>
              <w:spacing w:after="0"/>
              <w:jc w:val="right"/>
            </w:pPr>
            <w:r>
              <w:rPr>
                <w:b w:val="0"/>
              </w:rPr>
              <w:t>23.19</w:t>
            </w:r>
          </w:p>
        </w:tc>
      </w:tr>
      <w:tr w14:paraId="31C78C07">
        <w:trPr>
          <w:cantSplit/>
          <w:jc w:val="center"/>
        </w:trPr>
        <w:tc>
          <w:tcPr>
            <w:tcW w:w="4608" w:type="dxa"/>
            <w:vAlign w:val="center"/>
          </w:tcPr>
          <w:p w14:paraId="5B323C79">
            <w:pPr>
              <w:pStyle w:val="165"/>
              <w:spacing w:after="0"/>
              <w:jc w:val="left"/>
            </w:pPr>
            <w:r>
              <w:rPr>
                <w:b w:val="0"/>
              </w:rPr>
              <w:t>Incomplete primary</w:t>
            </w:r>
          </w:p>
        </w:tc>
        <w:tc>
          <w:tcPr>
            <w:tcW w:w="1008" w:type="dxa"/>
            <w:vAlign w:val="center"/>
          </w:tcPr>
          <w:p w14:paraId="06EE357E">
            <w:pPr>
              <w:pStyle w:val="165"/>
              <w:spacing w:after="0"/>
              <w:jc w:val="right"/>
            </w:pPr>
            <w:r>
              <w:rPr>
                <w:b w:val="0"/>
              </w:rPr>
              <w:t>735</w:t>
            </w:r>
          </w:p>
        </w:tc>
        <w:tc>
          <w:tcPr>
            <w:tcW w:w="1296" w:type="dxa"/>
            <w:vAlign w:val="center"/>
          </w:tcPr>
          <w:p w14:paraId="276F8069">
            <w:pPr>
              <w:pStyle w:val="165"/>
              <w:spacing w:after="0"/>
              <w:jc w:val="right"/>
            </w:pPr>
            <w:r>
              <w:rPr>
                <w:b w:val="0"/>
              </w:rPr>
              <w:t>155.73</w:t>
            </w:r>
          </w:p>
        </w:tc>
        <w:tc>
          <w:tcPr>
            <w:tcW w:w="1296" w:type="dxa"/>
            <w:vAlign w:val="center"/>
          </w:tcPr>
          <w:p w14:paraId="019C669B">
            <w:pPr>
              <w:pStyle w:val="165"/>
              <w:spacing w:after="0"/>
              <w:jc w:val="right"/>
            </w:pPr>
            <w:r>
              <w:rPr>
                <w:b w:val="0"/>
              </w:rPr>
              <w:t>20.94</w:t>
            </w:r>
          </w:p>
        </w:tc>
      </w:tr>
      <w:tr w14:paraId="1EFE1E8E">
        <w:trPr>
          <w:cantSplit/>
          <w:jc w:val="center"/>
        </w:trPr>
        <w:tc>
          <w:tcPr>
            <w:tcW w:w="4608" w:type="dxa"/>
            <w:vAlign w:val="center"/>
          </w:tcPr>
          <w:p w14:paraId="2F3D3033">
            <w:pPr>
              <w:pStyle w:val="165"/>
              <w:spacing w:after="0"/>
              <w:jc w:val="left"/>
            </w:pPr>
            <w:r>
              <w:rPr>
                <w:b w:val="0"/>
              </w:rPr>
              <w:t>Complete primary</w:t>
            </w:r>
          </w:p>
        </w:tc>
        <w:tc>
          <w:tcPr>
            <w:tcW w:w="1008" w:type="dxa"/>
            <w:vAlign w:val="center"/>
          </w:tcPr>
          <w:p w14:paraId="4A06E017">
            <w:pPr>
              <w:pStyle w:val="165"/>
              <w:spacing w:after="0"/>
              <w:jc w:val="right"/>
            </w:pPr>
            <w:r>
              <w:rPr>
                <w:b w:val="0"/>
              </w:rPr>
              <w:t>824</w:t>
            </w:r>
          </w:p>
        </w:tc>
        <w:tc>
          <w:tcPr>
            <w:tcW w:w="1296" w:type="dxa"/>
            <w:vAlign w:val="center"/>
          </w:tcPr>
          <w:p w14:paraId="4A5902DA">
            <w:pPr>
              <w:pStyle w:val="165"/>
              <w:spacing w:after="0"/>
              <w:jc w:val="right"/>
            </w:pPr>
            <w:r>
              <w:rPr>
                <w:b w:val="0"/>
              </w:rPr>
              <w:t>155.20</w:t>
            </w:r>
          </w:p>
        </w:tc>
        <w:tc>
          <w:tcPr>
            <w:tcW w:w="1296" w:type="dxa"/>
            <w:vAlign w:val="center"/>
          </w:tcPr>
          <w:p w14:paraId="3B968345">
            <w:pPr>
              <w:pStyle w:val="165"/>
              <w:spacing w:after="0"/>
              <w:jc w:val="right"/>
            </w:pPr>
            <w:r>
              <w:rPr>
                <w:b w:val="0"/>
              </w:rPr>
              <w:t>22.41</w:t>
            </w:r>
          </w:p>
        </w:tc>
      </w:tr>
      <w:tr w14:paraId="14EE5A98">
        <w:trPr>
          <w:cantSplit/>
          <w:jc w:val="center"/>
        </w:trPr>
        <w:tc>
          <w:tcPr>
            <w:tcW w:w="4608" w:type="dxa"/>
            <w:vAlign w:val="center"/>
          </w:tcPr>
          <w:p w14:paraId="6EE302B0">
            <w:pPr>
              <w:pStyle w:val="165"/>
              <w:spacing w:after="0"/>
              <w:jc w:val="left"/>
            </w:pPr>
            <w:r>
              <w:rPr>
                <w:b w:val="0"/>
              </w:rPr>
              <w:t>Incomplete secondary</w:t>
            </w:r>
          </w:p>
        </w:tc>
        <w:tc>
          <w:tcPr>
            <w:tcW w:w="1008" w:type="dxa"/>
            <w:vAlign w:val="center"/>
          </w:tcPr>
          <w:p w14:paraId="62EB4B21">
            <w:pPr>
              <w:pStyle w:val="165"/>
              <w:spacing w:after="0"/>
              <w:jc w:val="right"/>
            </w:pPr>
            <w:r>
              <w:rPr>
                <w:b w:val="0"/>
              </w:rPr>
              <w:t>1091</w:t>
            </w:r>
          </w:p>
        </w:tc>
        <w:tc>
          <w:tcPr>
            <w:tcW w:w="1296" w:type="dxa"/>
            <w:vAlign w:val="center"/>
          </w:tcPr>
          <w:p w14:paraId="09910B29">
            <w:pPr>
              <w:pStyle w:val="165"/>
              <w:spacing w:after="0"/>
              <w:jc w:val="right"/>
            </w:pPr>
            <w:r>
              <w:rPr>
                <w:b w:val="0"/>
              </w:rPr>
              <w:t>156.54</w:t>
            </w:r>
          </w:p>
        </w:tc>
        <w:tc>
          <w:tcPr>
            <w:tcW w:w="1296" w:type="dxa"/>
            <w:vAlign w:val="center"/>
          </w:tcPr>
          <w:p w14:paraId="768EB723">
            <w:pPr>
              <w:pStyle w:val="165"/>
              <w:spacing w:after="0"/>
              <w:jc w:val="right"/>
            </w:pPr>
            <w:r>
              <w:rPr>
                <w:b w:val="0"/>
              </w:rPr>
              <w:t>21.74</w:t>
            </w:r>
          </w:p>
        </w:tc>
      </w:tr>
      <w:tr w14:paraId="7F3DD0A0">
        <w:trPr>
          <w:cantSplit/>
          <w:jc w:val="center"/>
        </w:trPr>
        <w:tc>
          <w:tcPr>
            <w:tcW w:w="4608" w:type="dxa"/>
            <w:vAlign w:val="center"/>
          </w:tcPr>
          <w:p w14:paraId="4C15FB87">
            <w:pPr>
              <w:pStyle w:val="165"/>
              <w:spacing w:after="0"/>
              <w:jc w:val="left"/>
            </w:pPr>
            <w:r>
              <w:rPr>
                <w:b w:val="0"/>
              </w:rPr>
              <w:t>Complete secondary</w:t>
            </w:r>
          </w:p>
        </w:tc>
        <w:tc>
          <w:tcPr>
            <w:tcW w:w="1008" w:type="dxa"/>
            <w:vAlign w:val="center"/>
          </w:tcPr>
          <w:p w14:paraId="08CDB50A">
            <w:pPr>
              <w:pStyle w:val="165"/>
              <w:spacing w:after="0"/>
              <w:jc w:val="right"/>
            </w:pPr>
            <w:r>
              <w:rPr>
                <w:b w:val="0"/>
              </w:rPr>
              <w:t>2843</w:t>
            </w:r>
          </w:p>
        </w:tc>
        <w:tc>
          <w:tcPr>
            <w:tcW w:w="1296" w:type="dxa"/>
            <w:vAlign w:val="center"/>
          </w:tcPr>
          <w:p w14:paraId="62E8E8CE">
            <w:pPr>
              <w:pStyle w:val="165"/>
              <w:spacing w:after="0"/>
              <w:jc w:val="right"/>
            </w:pPr>
            <w:r>
              <w:rPr>
                <w:b w:val="0"/>
              </w:rPr>
              <w:t>158.79</w:t>
            </w:r>
          </w:p>
        </w:tc>
        <w:tc>
          <w:tcPr>
            <w:tcW w:w="1296" w:type="dxa"/>
            <w:vAlign w:val="center"/>
          </w:tcPr>
          <w:p w14:paraId="047EF2D7">
            <w:pPr>
              <w:pStyle w:val="165"/>
              <w:spacing w:after="0"/>
              <w:jc w:val="right"/>
            </w:pPr>
            <w:r>
              <w:rPr>
                <w:b w:val="0"/>
              </w:rPr>
              <w:t>22.11</w:t>
            </w:r>
          </w:p>
        </w:tc>
      </w:tr>
      <w:tr w14:paraId="4E4618ED">
        <w:trPr>
          <w:cantSplit/>
          <w:jc w:val="center"/>
        </w:trPr>
        <w:tc>
          <w:tcPr>
            <w:tcW w:w="4608" w:type="dxa"/>
            <w:vAlign w:val="center"/>
          </w:tcPr>
          <w:p w14:paraId="09DF3BF8">
            <w:pPr>
              <w:pStyle w:val="165"/>
              <w:spacing w:after="0"/>
              <w:jc w:val="left"/>
            </w:pPr>
            <w:r>
              <w:rPr>
                <w:b w:val="0"/>
              </w:rPr>
              <w:t>Incomplete technical/technology</w:t>
            </w:r>
          </w:p>
        </w:tc>
        <w:tc>
          <w:tcPr>
            <w:tcW w:w="1008" w:type="dxa"/>
            <w:vAlign w:val="center"/>
          </w:tcPr>
          <w:p w14:paraId="518F5804">
            <w:pPr>
              <w:pStyle w:val="165"/>
              <w:spacing w:after="0"/>
              <w:jc w:val="right"/>
            </w:pPr>
            <w:r>
              <w:rPr>
                <w:b w:val="0"/>
              </w:rPr>
              <w:t>277</w:t>
            </w:r>
          </w:p>
        </w:tc>
        <w:tc>
          <w:tcPr>
            <w:tcW w:w="1296" w:type="dxa"/>
            <w:vAlign w:val="center"/>
          </w:tcPr>
          <w:p w14:paraId="1EAE0954">
            <w:pPr>
              <w:pStyle w:val="165"/>
              <w:spacing w:after="0"/>
              <w:jc w:val="right"/>
            </w:pPr>
            <w:r>
              <w:rPr>
                <w:b w:val="0"/>
              </w:rPr>
              <w:t>162.10</w:t>
            </w:r>
          </w:p>
        </w:tc>
        <w:tc>
          <w:tcPr>
            <w:tcW w:w="1296" w:type="dxa"/>
            <w:vAlign w:val="center"/>
          </w:tcPr>
          <w:p w14:paraId="03392867">
            <w:pPr>
              <w:pStyle w:val="165"/>
              <w:spacing w:after="0"/>
              <w:jc w:val="right"/>
            </w:pPr>
            <w:r>
              <w:rPr>
                <w:b w:val="0"/>
              </w:rPr>
              <w:t>21.88</w:t>
            </w:r>
          </w:p>
        </w:tc>
      </w:tr>
      <w:tr w14:paraId="2ECB2C51">
        <w:trPr>
          <w:cantSplit/>
          <w:jc w:val="center"/>
        </w:trPr>
        <w:tc>
          <w:tcPr>
            <w:tcW w:w="4608" w:type="dxa"/>
            <w:vAlign w:val="center"/>
          </w:tcPr>
          <w:p w14:paraId="1C43EF34">
            <w:pPr>
              <w:pStyle w:val="165"/>
              <w:spacing w:after="0"/>
              <w:jc w:val="left"/>
            </w:pPr>
            <w:r>
              <w:rPr>
                <w:b w:val="0"/>
              </w:rPr>
              <w:t>Complete technical/technology</w:t>
            </w:r>
          </w:p>
        </w:tc>
        <w:tc>
          <w:tcPr>
            <w:tcW w:w="1008" w:type="dxa"/>
            <w:vAlign w:val="center"/>
          </w:tcPr>
          <w:p w14:paraId="7BD86FAE">
            <w:pPr>
              <w:pStyle w:val="165"/>
              <w:spacing w:after="0"/>
              <w:jc w:val="right"/>
            </w:pPr>
            <w:r>
              <w:rPr>
                <w:b w:val="0"/>
              </w:rPr>
              <w:t>1194</w:t>
            </w:r>
          </w:p>
        </w:tc>
        <w:tc>
          <w:tcPr>
            <w:tcW w:w="1296" w:type="dxa"/>
            <w:vAlign w:val="center"/>
          </w:tcPr>
          <w:p w14:paraId="665A41C4">
            <w:pPr>
              <w:pStyle w:val="165"/>
              <w:spacing w:after="0"/>
              <w:jc w:val="right"/>
            </w:pPr>
            <w:r>
              <w:rPr>
                <w:b w:val="0"/>
              </w:rPr>
              <w:t>164.03</w:t>
            </w:r>
          </w:p>
        </w:tc>
        <w:tc>
          <w:tcPr>
            <w:tcW w:w="1296" w:type="dxa"/>
            <w:vAlign w:val="center"/>
          </w:tcPr>
          <w:p w14:paraId="11C05040">
            <w:pPr>
              <w:pStyle w:val="165"/>
              <w:spacing w:after="0"/>
              <w:jc w:val="right"/>
            </w:pPr>
            <w:r>
              <w:rPr>
                <w:b w:val="0"/>
              </w:rPr>
              <w:t>22.17</w:t>
            </w:r>
          </w:p>
        </w:tc>
      </w:tr>
      <w:tr w14:paraId="3D82B199">
        <w:trPr>
          <w:cantSplit/>
          <w:jc w:val="center"/>
        </w:trPr>
        <w:tc>
          <w:tcPr>
            <w:tcW w:w="4608" w:type="dxa"/>
            <w:vAlign w:val="center"/>
          </w:tcPr>
          <w:p w14:paraId="6470FBA0">
            <w:pPr>
              <w:pStyle w:val="165"/>
              <w:spacing w:after="0"/>
              <w:jc w:val="left"/>
            </w:pPr>
            <w:r>
              <w:rPr>
                <w:b w:val="0"/>
              </w:rPr>
              <w:t>Incomplete professional</w:t>
            </w:r>
          </w:p>
        </w:tc>
        <w:tc>
          <w:tcPr>
            <w:tcW w:w="1008" w:type="dxa"/>
            <w:vAlign w:val="center"/>
          </w:tcPr>
          <w:p w14:paraId="1589BC29">
            <w:pPr>
              <w:pStyle w:val="165"/>
              <w:spacing w:after="0"/>
              <w:jc w:val="right"/>
            </w:pPr>
            <w:r>
              <w:rPr>
                <w:b w:val="0"/>
              </w:rPr>
              <w:t>425</w:t>
            </w:r>
          </w:p>
        </w:tc>
        <w:tc>
          <w:tcPr>
            <w:tcW w:w="1296" w:type="dxa"/>
            <w:vAlign w:val="center"/>
          </w:tcPr>
          <w:p w14:paraId="6DA04E1D">
            <w:pPr>
              <w:pStyle w:val="165"/>
              <w:spacing w:after="0"/>
              <w:jc w:val="right"/>
            </w:pPr>
            <w:r>
              <w:rPr>
                <w:b w:val="0"/>
              </w:rPr>
              <w:t>166.92</w:t>
            </w:r>
          </w:p>
        </w:tc>
        <w:tc>
          <w:tcPr>
            <w:tcW w:w="1296" w:type="dxa"/>
            <w:vAlign w:val="center"/>
          </w:tcPr>
          <w:p w14:paraId="6DCB40BC">
            <w:pPr>
              <w:pStyle w:val="165"/>
              <w:spacing w:after="0"/>
              <w:jc w:val="right"/>
            </w:pPr>
            <w:r>
              <w:rPr>
                <w:b w:val="0"/>
              </w:rPr>
              <w:t>22.69</w:t>
            </w:r>
          </w:p>
        </w:tc>
      </w:tr>
      <w:tr w14:paraId="4D8DC2EF">
        <w:trPr>
          <w:cantSplit/>
          <w:jc w:val="center"/>
        </w:trPr>
        <w:tc>
          <w:tcPr>
            <w:tcW w:w="4608" w:type="dxa"/>
            <w:vAlign w:val="center"/>
          </w:tcPr>
          <w:p w14:paraId="2D3FEEDD">
            <w:pPr>
              <w:pStyle w:val="165"/>
              <w:spacing w:after="0"/>
              <w:jc w:val="left"/>
            </w:pPr>
            <w:r>
              <w:rPr>
                <w:b w:val="0"/>
              </w:rPr>
              <w:t>Complete professional</w:t>
            </w:r>
          </w:p>
        </w:tc>
        <w:tc>
          <w:tcPr>
            <w:tcW w:w="1008" w:type="dxa"/>
            <w:vAlign w:val="center"/>
          </w:tcPr>
          <w:p w14:paraId="6CFF9876">
            <w:pPr>
              <w:pStyle w:val="165"/>
              <w:spacing w:after="0"/>
              <w:jc w:val="right"/>
            </w:pPr>
            <w:r>
              <w:rPr>
                <w:b w:val="0"/>
              </w:rPr>
              <w:t>3016</w:t>
            </w:r>
          </w:p>
        </w:tc>
        <w:tc>
          <w:tcPr>
            <w:tcW w:w="1296" w:type="dxa"/>
            <w:vAlign w:val="center"/>
          </w:tcPr>
          <w:p w14:paraId="1DE9515F">
            <w:pPr>
              <w:pStyle w:val="165"/>
              <w:spacing w:after="0"/>
              <w:jc w:val="right"/>
            </w:pPr>
            <w:r>
              <w:rPr>
                <w:b w:val="0"/>
              </w:rPr>
              <w:t>167.77</w:t>
            </w:r>
          </w:p>
        </w:tc>
        <w:tc>
          <w:tcPr>
            <w:tcW w:w="1296" w:type="dxa"/>
            <w:vAlign w:val="center"/>
          </w:tcPr>
          <w:p w14:paraId="42CB2B44">
            <w:pPr>
              <w:pStyle w:val="165"/>
              <w:spacing w:after="0"/>
              <w:jc w:val="right"/>
            </w:pPr>
            <w:r>
              <w:rPr>
                <w:b w:val="0"/>
              </w:rPr>
              <w:t>23.03</w:t>
            </w:r>
          </w:p>
        </w:tc>
      </w:tr>
      <w:tr w14:paraId="3296583D">
        <w:trPr>
          <w:cantSplit/>
          <w:jc w:val="center"/>
        </w:trPr>
        <w:tc>
          <w:tcPr>
            <w:tcW w:w="4608" w:type="dxa"/>
            <w:vAlign w:val="center"/>
          </w:tcPr>
          <w:p w14:paraId="0F88B292">
            <w:pPr>
              <w:pStyle w:val="165"/>
              <w:spacing w:after="0"/>
              <w:jc w:val="left"/>
            </w:pPr>
            <w:r>
              <w:rPr>
                <w:b w:val="0"/>
              </w:rPr>
              <w:t>Postgraduate</w:t>
            </w:r>
          </w:p>
        </w:tc>
        <w:tc>
          <w:tcPr>
            <w:tcW w:w="1008" w:type="dxa"/>
            <w:vAlign w:val="center"/>
          </w:tcPr>
          <w:p w14:paraId="59E46F08">
            <w:pPr>
              <w:pStyle w:val="165"/>
              <w:spacing w:after="0"/>
              <w:jc w:val="right"/>
            </w:pPr>
            <w:r>
              <w:rPr>
                <w:b w:val="0"/>
              </w:rPr>
              <w:t>1085</w:t>
            </w:r>
          </w:p>
        </w:tc>
        <w:tc>
          <w:tcPr>
            <w:tcW w:w="1296" w:type="dxa"/>
            <w:vAlign w:val="center"/>
          </w:tcPr>
          <w:p w14:paraId="01725B90">
            <w:pPr>
              <w:pStyle w:val="165"/>
              <w:spacing w:after="0"/>
              <w:jc w:val="right"/>
            </w:pPr>
            <w:r>
              <w:rPr>
                <w:b w:val="0"/>
              </w:rPr>
              <w:t>176.99</w:t>
            </w:r>
          </w:p>
        </w:tc>
        <w:tc>
          <w:tcPr>
            <w:tcW w:w="1296" w:type="dxa"/>
            <w:vAlign w:val="center"/>
          </w:tcPr>
          <w:p w14:paraId="632583F1">
            <w:pPr>
              <w:pStyle w:val="165"/>
              <w:spacing w:after="0"/>
              <w:jc w:val="right"/>
            </w:pPr>
            <w:r>
              <w:rPr>
                <w:b w:val="0"/>
              </w:rPr>
              <w:t>21.73</w:t>
            </w:r>
          </w:p>
        </w:tc>
      </w:tr>
    </w:tbl>
    <w:p w14:paraId="5F5776F5">
      <w:pPr>
        <w:pStyle w:val="164"/>
        <w:jc w:val="center"/>
      </w:pPr>
      <w:r>
        <w:t>Table B4. Higher-education component means by gender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0494208B">
        <w:trPr>
          <w:cantSplit/>
          <w:jc w:val="center"/>
        </w:trPr>
        <w:tc>
          <w:tcPr>
            <w:tcW w:w="4320" w:type="dxa"/>
            <w:shd w:val="clear" w:color="auto" w:fill="E7E6E6"/>
            <w:vAlign w:val="center"/>
          </w:tcPr>
          <w:p w14:paraId="75968B28">
            <w:pPr>
              <w:pStyle w:val="165"/>
              <w:spacing w:after="0"/>
              <w:jc w:val="center"/>
            </w:pPr>
            <w:r>
              <w:rPr>
                <w:b/>
              </w:rPr>
              <w:t>Assessment</w:t>
            </w:r>
          </w:p>
        </w:tc>
        <w:tc>
          <w:tcPr>
            <w:tcW w:w="1728" w:type="dxa"/>
            <w:shd w:val="clear" w:color="auto" w:fill="E7E6E6"/>
            <w:vAlign w:val="center"/>
          </w:tcPr>
          <w:p w14:paraId="65793F53">
            <w:pPr>
              <w:pStyle w:val="165"/>
              <w:spacing w:after="0"/>
              <w:jc w:val="center"/>
            </w:pPr>
            <w:r>
              <w:rPr>
                <w:b/>
              </w:rPr>
              <w:t>Female Mean</w:t>
            </w:r>
          </w:p>
        </w:tc>
        <w:tc>
          <w:tcPr>
            <w:tcW w:w="1728" w:type="dxa"/>
            <w:shd w:val="clear" w:color="auto" w:fill="E7E6E6"/>
            <w:vAlign w:val="center"/>
          </w:tcPr>
          <w:p w14:paraId="5C1BDF6A">
            <w:pPr>
              <w:pStyle w:val="165"/>
              <w:spacing w:after="0"/>
              <w:jc w:val="center"/>
            </w:pPr>
            <w:r>
              <w:rPr>
                <w:b/>
              </w:rPr>
              <w:t>Male Mean</w:t>
            </w:r>
          </w:p>
        </w:tc>
      </w:tr>
      <w:tr w14:paraId="0802F267">
        <w:trPr>
          <w:cantSplit/>
          <w:jc w:val="center"/>
        </w:trPr>
        <w:tc>
          <w:tcPr>
            <w:tcW w:w="4320" w:type="dxa"/>
            <w:vAlign w:val="center"/>
          </w:tcPr>
          <w:p w14:paraId="0D67170B">
            <w:pPr>
              <w:pStyle w:val="165"/>
              <w:spacing w:after="0"/>
              <w:jc w:val="left"/>
            </w:pPr>
            <w:r>
              <w:rPr>
                <w:b w:val="0"/>
              </w:rPr>
              <w:t>Quantitative Reasoning</w:t>
            </w:r>
          </w:p>
        </w:tc>
        <w:tc>
          <w:tcPr>
            <w:tcW w:w="1728" w:type="dxa"/>
            <w:vAlign w:val="center"/>
          </w:tcPr>
          <w:p w14:paraId="78B8ED0A">
            <w:pPr>
              <w:pStyle w:val="165"/>
              <w:spacing w:after="0"/>
              <w:jc w:val="right"/>
            </w:pPr>
            <w:r>
              <w:rPr>
                <w:b w:val="0"/>
              </w:rPr>
              <w:t>71.89</w:t>
            </w:r>
          </w:p>
        </w:tc>
        <w:tc>
          <w:tcPr>
            <w:tcW w:w="1728" w:type="dxa"/>
            <w:vAlign w:val="center"/>
          </w:tcPr>
          <w:p w14:paraId="1FA7A826">
            <w:pPr>
              <w:pStyle w:val="165"/>
              <w:spacing w:after="0"/>
              <w:jc w:val="right"/>
            </w:pPr>
            <w:r>
              <w:rPr>
                <w:b w:val="0"/>
              </w:rPr>
              <w:t>81.20</w:t>
            </w:r>
          </w:p>
        </w:tc>
      </w:tr>
      <w:tr w14:paraId="652E716D">
        <w:trPr>
          <w:cantSplit/>
          <w:jc w:val="center"/>
        </w:trPr>
        <w:tc>
          <w:tcPr>
            <w:tcW w:w="4320" w:type="dxa"/>
            <w:vAlign w:val="center"/>
          </w:tcPr>
          <w:p w14:paraId="4B4EBDE1">
            <w:pPr>
              <w:pStyle w:val="165"/>
              <w:spacing w:after="0"/>
              <w:jc w:val="left"/>
            </w:pPr>
            <w:r>
              <w:rPr>
                <w:b w:val="0"/>
              </w:rPr>
              <w:t>Critical Reading</w:t>
            </w:r>
          </w:p>
        </w:tc>
        <w:tc>
          <w:tcPr>
            <w:tcW w:w="1728" w:type="dxa"/>
            <w:vAlign w:val="center"/>
          </w:tcPr>
          <w:p w14:paraId="6C25FB1B">
            <w:pPr>
              <w:pStyle w:val="165"/>
              <w:spacing w:after="0"/>
              <w:jc w:val="right"/>
            </w:pPr>
            <w:r>
              <w:rPr>
                <w:b w:val="0"/>
              </w:rPr>
              <w:t>61.34</w:t>
            </w:r>
          </w:p>
        </w:tc>
        <w:tc>
          <w:tcPr>
            <w:tcW w:w="1728" w:type="dxa"/>
            <w:vAlign w:val="center"/>
          </w:tcPr>
          <w:p w14:paraId="5AE50571">
            <w:pPr>
              <w:pStyle w:val="165"/>
              <w:spacing w:after="0"/>
              <w:jc w:val="right"/>
            </w:pPr>
            <w:r>
              <w:rPr>
                <w:b w:val="0"/>
              </w:rPr>
              <w:t>62.79</w:t>
            </w:r>
          </w:p>
        </w:tc>
      </w:tr>
      <w:tr w14:paraId="5F9A9754">
        <w:trPr>
          <w:cantSplit/>
          <w:jc w:val="center"/>
        </w:trPr>
        <w:tc>
          <w:tcPr>
            <w:tcW w:w="4320" w:type="dxa"/>
            <w:vAlign w:val="center"/>
          </w:tcPr>
          <w:p w14:paraId="77EE121E">
            <w:pPr>
              <w:pStyle w:val="165"/>
              <w:spacing w:after="0"/>
              <w:jc w:val="left"/>
            </w:pPr>
            <w:r>
              <w:rPr>
                <w:b w:val="0"/>
              </w:rPr>
              <w:t>Citizenship Competencies</w:t>
            </w:r>
          </w:p>
        </w:tc>
        <w:tc>
          <w:tcPr>
            <w:tcW w:w="1728" w:type="dxa"/>
            <w:vAlign w:val="center"/>
          </w:tcPr>
          <w:p w14:paraId="0AF22952">
            <w:pPr>
              <w:pStyle w:val="165"/>
              <w:spacing w:after="0"/>
              <w:jc w:val="right"/>
            </w:pPr>
            <w:r>
              <w:rPr>
                <w:b w:val="0"/>
              </w:rPr>
              <w:t>58.57</w:t>
            </w:r>
          </w:p>
        </w:tc>
        <w:tc>
          <w:tcPr>
            <w:tcW w:w="1728" w:type="dxa"/>
            <w:vAlign w:val="center"/>
          </w:tcPr>
          <w:p w14:paraId="0A3A6BF8">
            <w:pPr>
              <w:pStyle w:val="165"/>
              <w:spacing w:after="0"/>
              <w:jc w:val="right"/>
            </w:pPr>
            <w:r>
              <w:rPr>
                <w:b w:val="0"/>
              </w:rPr>
              <w:t>59.61</w:t>
            </w:r>
          </w:p>
        </w:tc>
      </w:tr>
      <w:tr w14:paraId="12703EAC">
        <w:trPr>
          <w:cantSplit/>
          <w:jc w:val="center"/>
        </w:trPr>
        <w:tc>
          <w:tcPr>
            <w:tcW w:w="4320" w:type="dxa"/>
            <w:vAlign w:val="center"/>
          </w:tcPr>
          <w:p w14:paraId="68939B66">
            <w:pPr>
              <w:pStyle w:val="165"/>
              <w:spacing w:after="0"/>
              <w:jc w:val="left"/>
            </w:pPr>
            <w:r>
              <w:rPr>
                <w:b w:val="0"/>
              </w:rPr>
              <w:t>English</w:t>
            </w:r>
          </w:p>
        </w:tc>
        <w:tc>
          <w:tcPr>
            <w:tcW w:w="1728" w:type="dxa"/>
            <w:vAlign w:val="center"/>
          </w:tcPr>
          <w:p w14:paraId="0B712AD5">
            <w:pPr>
              <w:pStyle w:val="165"/>
              <w:spacing w:after="0"/>
              <w:jc w:val="right"/>
            </w:pPr>
            <w:r>
              <w:rPr>
                <w:b w:val="0"/>
              </w:rPr>
              <w:t>66.53</w:t>
            </w:r>
          </w:p>
        </w:tc>
        <w:tc>
          <w:tcPr>
            <w:tcW w:w="1728" w:type="dxa"/>
            <w:vAlign w:val="center"/>
          </w:tcPr>
          <w:p w14:paraId="1E2DA62E">
            <w:pPr>
              <w:pStyle w:val="165"/>
              <w:spacing w:after="0"/>
              <w:jc w:val="right"/>
            </w:pPr>
            <w:r>
              <w:rPr>
                <w:b w:val="0"/>
              </w:rPr>
              <w:t>68.16</w:t>
            </w:r>
          </w:p>
        </w:tc>
      </w:tr>
      <w:tr w14:paraId="51D8BF13">
        <w:trPr>
          <w:cantSplit/>
          <w:jc w:val="center"/>
        </w:trPr>
        <w:tc>
          <w:tcPr>
            <w:tcW w:w="4320" w:type="dxa"/>
            <w:vAlign w:val="center"/>
          </w:tcPr>
          <w:p w14:paraId="1A8B484A">
            <w:pPr>
              <w:pStyle w:val="165"/>
              <w:spacing w:after="0"/>
              <w:jc w:val="left"/>
            </w:pPr>
            <w:r>
              <w:rPr>
                <w:b w:val="0"/>
              </w:rPr>
              <w:t>Written Communication</w:t>
            </w:r>
          </w:p>
        </w:tc>
        <w:tc>
          <w:tcPr>
            <w:tcW w:w="1728" w:type="dxa"/>
            <w:vAlign w:val="center"/>
          </w:tcPr>
          <w:p w14:paraId="177FC03E">
            <w:pPr>
              <w:pStyle w:val="165"/>
              <w:spacing w:after="0"/>
              <w:jc w:val="right"/>
            </w:pPr>
            <w:r>
              <w:rPr>
                <w:b w:val="0"/>
              </w:rPr>
              <w:t>56.62</w:t>
            </w:r>
          </w:p>
        </w:tc>
        <w:tc>
          <w:tcPr>
            <w:tcW w:w="1728" w:type="dxa"/>
            <w:vAlign w:val="center"/>
          </w:tcPr>
          <w:p w14:paraId="214B7085">
            <w:pPr>
              <w:pStyle w:val="165"/>
              <w:spacing w:after="0"/>
              <w:jc w:val="right"/>
            </w:pPr>
            <w:r>
              <w:rPr>
                <w:b w:val="0"/>
              </w:rPr>
              <w:t>51.71</w:t>
            </w:r>
          </w:p>
        </w:tc>
      </w:tr>
      <w:tr w14:paraId="5050610A">
        <w:trPr>
          <w:cantSplit/>
          <w:jc w:val="center"/>
        </w:trPr>
        <w:tc>
          <w:tcPr>
            <w:tcW w:w="4320" w:type="dxa"/>
            <w:vAlign w:val="center"/>
          </w:tcPr>
          <w:p w14:paraId="21C51EEE">
            <w:pPr>
              <w:pStyle w:val="165"/>
              <w:spacing w:after="0"/>
              <w:jc w:val="left"/>
            </w:pPr>
            <w:r>
              <w:rPr>
                <w:b w:val="0"/>
              </w:rPr>
              <w:t>Engineering Projects</w:t>
            </w:r>
          </w:p>
        </w:tc>
        <w:tc>
          <w:tcPr>
            <w:tcW w:w="1728" w:type="dxa"/>
            <w:vAlign w:val="center"/>
          </w:tcPr>
          <w:p w14:paraId="2F444B89">
            <w:pPr>
              <w:pStyle w:val="165"/>
              <w:spacing w:after="0"/>
              <w:jc w:val="right"/>
            </w:pPr>
            <w:r>
              <w:rPr>
                <w:b w:val="0"/>
              </w:rPr>
              <w:t>145.30</w:t>
            </w:r>
          </w:p>
        </w:tc>
        <w:tc>
          <w:tcPr>
            <w:tcW w:w="1728" w:type="dxa"/>
            <w:vAlign w:val="center"/>
          </w:tcPr>
          <w:p w14:paraId="66FAEC01">
            <w:pPr>
              <w:pStyle w:val="165"/>
              <w:spacing w:after="0"/>
              <w:jc w:val="right"/>
            </w:pPr>
            <w:r>
              <w:rPr>
                <w:b w:val="0"/>
              </w:rPr>
              <w:t>145.60</w:t>
            </w:r>
          </w:p>
        </w:tc>
      </w:tr>
      <w:tr w14:paraId="4C1A8C22">
        <w:trPr>
          <w:cantSplit/>
          <w:jc w:val="center"/>
        </w:trPr>
        <w:tc>
          <w:tcPr>
            <w:tcW w:w="4320" w:type="dxa"/>
            <w:vAlign w:val="center"/>
          </w:tcPr>
          <w:p w14:paraId="50782F78">
            <w:pPr>
              <w:pStyle w:val="165"/>
              <w:spacing w:after="0"/>
              <w:jc w:val="left"/>
            </w:pPr>
            <w:r>
              <w:rPr>
                <w:b w:val="0"/>
              </w:rPr>
              <w:t>Global Score</w:t>
            </w:r>
          </w:p>
        </w:tc>
        <w:tc>
          <w:tcPr>
            <w:tcW w:w="1728" w:type="dxa"/>
            <w:vAlign w:val="center"/>
          </w:tcPr>
          <w:p w14:paraId="62C45BBF">
            <w:pPr>
              <w:pStyle w:val="165"/>
              <w:spacing w:after="0"/>
              <w:jc w:val="right"/>
            </w:pPr>
            <w:r>
              <w:rPr>
                <w:b w:val="0"/>
              </w:rPr>
              <w:t>161.28</w:t>
            </w:r>
          </w:p>
        </w:tc>
        <w:tc>
          <w:tcPr>
            <w:tcW w:w="1728" w:type="dxa"/>
            <w:vAlign w:val="center"/>
          </w:tcPr>
          <w:p w14:paraId="27BA9436">
            <w:pPr>
              <w:pStyle w:val="165"/>
              <w:spacing w:after="0"/>
              <w:jc w:val="right"/>
            </w:pPr>
            <w:r>
              <w:rPr>
                <w:b w:val="0"/>
              </w:rPr>
              <w:t>163.69</w:t>
            </w:r>
          </w:p>
        </w:tc>
      </w:tr>
    </w:tbl>
    <w:p w14:paraId="2E28DD49">
      <w:pPr>
        <w:jc w:val="center"/>
      </w:pPr>
      <w:r>
        <w:drawing>
          <wp:inline distT="0" distB="0" distL="114300" distR="114300">
            <wp:extent cx="5669280" cy="34315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669280" cy="3432075"/>
                    </a:xfrm>
                    <a:prstGeom prst="rect">
                      <a:avLst/>
                    </a:prstGeom>
                  </pic:spPr>
                </pic:pic>
              </a:graphicData>
            </a:graphic>
          </wp:inline>
        </w:drawing>
      </w:r>
    </w:p>
    <w:p w14:paraId="2053F74C">
      <w:pPr>
        <w:pStyle w:val="164"/>
        <w:jc w:val="center"/>
      </w:pPr>
      <w:r>
        <w:t>Figure B1. Mean global score by engineering program for programs with at least 100 students.</w:t>
      </w:r>
    </w:p>
    <w:p w14:paraId="1773FE3E">
      <w:pPr>
        <w:pStyle w:val="164"/>
        <w:jc w:val="center"/>
      </w:pPr>
      <w:r>
        <w:t>Source: Author's analysis of De La Hoz (2020) dataset.</w:t>
      </w:r>
    </w:p>
    <w:p w14:paraId="53D7798F">
      <w:pPr>
        <w:jc w:val="center"/>
      </w:pPr>
      <w:r>
        <w:drawing>
          <wp:inline distT="0" distB="0" distL="114300" distR="114300">
            <wp:extent cx="5669280" cy="33534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669280" cy="3353659"/>
                    </a:xfrm>
                    <a:prstGeom prst="rect">
                      <a:avLst/>
                    </a:prstGeom>
                  </pic:spPr>
                </pic:pic>
              </a:graphicData>
            </a:graphic>
          </wp:inline>
        </w:drawing>
      </w:r>
    </w:p>
    <w:p w14:paraId="1668C5A2">
      <w:pPr>
        <w:pStyle w:val="164"/>
        <w:jc w:val="center"/>
      </w:pPr>
      <w:r>
        <w:t>Figure B2. Mean global score by household revenue category.</w:t>
      </w:r>
    </w:p>
    <w:p w14:paraId="20FAF3AB">
      <w:pPr>
        <w:pStyle w:val="164"/>
        <w:jc w:val="center"/>
      </w:pPr>
      <w:r>
        <w:t>Source: Author's analysis of De La Hoz (2020) dataset.</w:t>
      </w:r>
    </w:p>
    <w:p w14:paraId="4365F28A">
      <w:pPr>
        <w:pStyle w:val="4"/>
        <w:keepNext/>
      </w:pPr>
      <w:r>
        <w:t>Appendix C. Selected Python Analysis Code</w:t>
      </w:r>
    </w:p>
    <w:p w14:paraId="375B82AF">
      <w:r>
        <w:t>The full analysis was completed in Google Colab/Python. The following excerpts show the main workflow used for the required comparisons.</w:t>
      </w:r>
    </w:p>
    <w:p w14:paraId="417F64BD">
      <w:pPr>
        <w:spacing w:line="240" w:lineRule="auto"/>
        <w:ind w:left="360"/>
      </w:pPr>
      <w:r>
        <w:rPr>
          <w:rFonts w:ascii="Times New Roman" w:hAnsi="Times New Roman"/>
          <w:sz w:val="20"/>
        </w:rPr>
        <w:t>import pandas as pd</w:t>
      </w:r>
      <w:r>
        <w:rPr>
          <w:rFonts w:ascii="Times New Roman" w:hAnsi="Times New Roman"/>
          <w:sz w:val="20"/>
        </w:rPr>
        <w:br w:type="textWrapping"/>
      </w:r>
      <w:r>
        <w:rPr>
          <w:rFonts w:ascii="Times New Roman" w:hAnsi="Times New Roman"/>
          <w:sz w:val="20"/>
        </w:rPr>
        <w:t>import numpy as np</w:t>
      </w:r>
      <w:r>
        <w:rPr>
          <w:rFonts w:ascii="Times New Roman" w:hAnsi="Times New Roman"/>
          <w:sz w:val="20"/>
        </w:rPr>
        <w:br w:type="textWrapping"/>
      </w:r>
      <w:r>
        <w:rPr>
          <w:rFonts w:ascii="Times New Roman" w:hAnsi="Times New Roman"/>
          <w:sz w:val="20"/>
        </w:rPr>
        <w:t>from scipy import stats</w:t>
      </w:r>
      <w:r>
        <w:rPr>
          <w:rFonts w:ascii="Times New Roman" w:hAnsi="Times New Roman"/>
          <w:sz w:val="20"/>
        </w:rPr>
        <w:br w:type="textWrapping"/>
      </w:r>
      <w:r>
        <w:rPr>
          <w:rFonts w:ascii="Times New Roman" w:hAnsi="Times New Roman"/>
          <w:sz w:val="20"/>
        </w:rPr>
        <w:br w:type="textWrapping"/>
      </w:r>
      <w:r>
        <w:rPr>
          <w:rFonts w:ascii="Times New Roman" w:hAnsi="Times New Roman"/>
          <w:sz w:val="20"/>
        </w:rPr>
        <w:t>df = pd.read_excel(</w:t>
      </w:r>
      <w:r>
        <w:rPr>
          <w:rFonts w:ascii="Times New Roman" w:hAnsi="Times New Roman"/>
          <w:sz w:val="20"/>
        </w:rPr>
        <w:br w:type="textWrapping"/>
      </w:r>
      <w:r>
        <w:rPr>
          <w:rFonts w:ascii="Times New Roman" w:hAnsi="Times New Roman"/>
          <w:sz w:val="20"/>
        </w:rPr>
        <w:t xml:space="preserve">    'data_academic_performance.xlsx',</w:t>
      </w:r>
      <w:r>
        <w:rPr>
          <w:rFonts w:ascii="Times New Roman" w:hAnsi="Times New Roman"/>
          <w:sz w:val="20"/>
        </w:rPr>
        <w:br w:type="textWrapping"/>
      </w:r>
      <w:r>
        <w:rPr>
          <w:rFonts w:ascii="Times New Roman" w:hAnsi="Times New Roman"/>
          <w:sz w:val="20"/>
        </w:rPr>
        <w:t xml:space="preserve">    sheet_name='SABER11_SABERPRO'</w:t>
      </w:r>
      <w:r>
        <w:rPr>
          <w:rFonts w:ascii="Times New Roman" w:hAnsi="Times New Roman"/>
          <w:sz w:val="20"/>
        </w:rPr>
        <w:br w:type="textWrapping"/>
      </w:r>
      <w:r>
        <w:rPr>
          <w:rFonts w:ascii="Times New Roman" w:hAnsi="Times New Roman"/>
          <w:sz w:val="20"/>
        </w:rPr>
        <w:t>)</w:t>
      </w:r>
      <w:r>
        <w:rPr>
          <w:rFonts w:ascii="Times New Roman" w:hAnsi="Times New Roman"/>
          <w:sz w:val="20"/>
        </w:rPr>
        <w:br w:type="textWrapping"/>
      </w:r>
    </w:p>
    <w:p w14:paraId="00D5382F">
      <w:pPr>
        <w:spacing w:line="240" w:lineRule="auto"/>
        <w:ind w:left="360"/>
      </w:pPr>
      <w:r>
        <w:rPr>
          <w:rFonts w:ascii="Times New Roman" w:hAnsi="Times New Roman"/>
          <w:sz w:val="20"/>
        </w:rPr>
        <w:t># Global score by socioeconomic stratum</w:t>
      </w:r>
      <w:r>
        <w:rPr>
          <w:rFonts w:ascii="Times New Roman" w:hAnsi="Times New Roman"/>
          <w:sz w:val="20"/>
        </w:rPr>
        <w:br w:type="textWrapping"/>
      </w:r>
      <w:r>
        <w:rPr>
          <w:rFonts w:ascii="Times New Roman" w:hAnsi="Times New Roman"/>
          <w:sz w:val="20"/>
        </w:rPr>
        <w:t>stratum = df[df['STRATUM'] != 0]</w:t>
      </w:r>
      <w:r>
        <w:rPr>
          <w:rFonts w:ascii="Times New Roman" w:hAnsi="Times New Roman"/>
          <w:sz w:val="20"/>
        </w:rPr>
        <w:br w:type="textWrapping"/>
      </w:r>
      <w:r>
        <w:rPr>
          <w:rFonts w:ascii="Times New Roman" w:hAnsi="Times New Roman"/>
          <w:sz w:val="20"/>
        </w:rPr>
        <w:t>stratum_summary = (</w:t>
      </w:r>
      <w:r>
        <w:rPr>
          <w:rFonts w:ascii="Times New Roman" w:hAnsi="Times New Roman"/>
          <w:sz w:val="20"/>
        </w:rPr>
        <w:br w:type="textWrapping"/>
      </w:r>
      <w:r>
        <w:rPr>
          <w:rFonts w:ascii="Times New Roman" w:hAnsi="Times New Roman"/>
          <w:sz w:val="20"/>
        </w:rPr>
        <w:t xml:space="preserve">    stratum.groupby('STRATUM')['G_SC']</w:t>
      </w:r>
      <w:r>
        <w:rPr>
          <w:rFonts w:ascii="Times New Roman" w:hAnsi="Times New Roman"/>
          <w:sz w:val="20"/>
        </w:rPr>
        <w:br w:type="textWrapping"/>
      </w:r>
      <w:r>
        <w:rPr>
          <w:rFonts w:ascii="Times New Roman" w:hAnsi="Times New Roman"/>
          <w:sz w:val="20"/>
        </w:rPr>
        <w:t xml:space="preserve">    .agg(['count', 'mean', 'std', 'median'])</w:t>
      </w:r>
      <w:r>
        <w:rPr>
          <w:rFonts w:ascii="Times New Roman" w:hAnsi="Times New Roman"/>
          <w:sz w:val="20"/>
        </w:rPr>
        <w:br w:type="textWrapping"/>
      </w:r>
      <w:r>
        <w:rPr>
          <w:rFonts w:ascii="Times New Roman" w:hAnsi="Times New Roman"/>
          <w:sz w:val="20"/>
        </w:rPr>
        <w:t>)</w:t>
      </w:r>
      <w:r>
        <w:rPr>
          <w:rFonts w:ascii="Times New Roman" w:hAnsi="Times New Roman"/>
          <w:sz w:val="20"/>
        </w:rPr>
        <w:br w:type="textWrapping"/>
      </w:r>
    </w:p>
    <w:p w14:paraId="64F41043">
      <w:pPr>
        <w:spacing w:line="240" w:lineRule="auto"/>
        <w:ind w:left="360"/>
      </w:pPr>
      <w:r>
        <w:rPr>
          <w:rFonts w:ascii="Times New Roman" w:hAnsi="Times New Roman"/>
          <w:sz w:val="20"/>
        </w:rPr>
        <w:t># Global score by gender and Welch t test</w:t>
      </w:r>
      <w:r>
        <w:rPr>
          <w:rFonts w:ascii="Times New Roman" w:hAnsi="Times New Roman"/>
          <w:sz w:val="20"/>
        </w:rPr>
        <w:br w:type="textWrapping"/>
      </w:r>
      <w:r>
        <w:rPr>
          <w:rFonts w:ascii="Times New Roman" w:hAnsi="Times New Roman"/>
          <w:sz w:val="20"/>
        </w:rPr>
        <w:t>gender_summary = df.groupby('GENDER')['G_SC'].agg(</w:t>
      </w:r>
      <w:r>
        <w:rPr>
          <w:rFonts w:ascii="Times New Roman" w:hAnsi="Times New Roman"/>
          <w:sz w:val="20"/>
        </w:rPr>
        <w:br w:type="textWrapping"/>
      </w:r>
      <w:r>
        <w:rPr>
          <w:rFonts w:ascii="Times New Roman" w:hAnsi="Times New Roman"/>
          <w:sz w:val="20"/>
        </w:rPr>
        <w:t xml:space="preserve">    ['count', 'mean', 'std', 'median']</w:t>
      </w:r>
      <w:r>
        <w:rPr>
          <w:rFonts w:ascii="Times New Roman" w:hAnsi="Times New Roman"/>
          <w:sz w:val="20"/>
        </w:rPr>
        <w:br w:type="textWrapping"/>
      </w:r>
      <w:r>
        <w:rPr>
          <w:rFonts w:ascii="Times New Roman" w:hAnsi="Times New Roman"/>
          <w:sz w:val="20"/>
        </w:rPr>
        <w:t>)</w:t>
      </w:r>
      <w:r>
        <w:rPr>
          <w:rFonts w:ascii="Times New Roman" w:hAnsi="Times New Roman"/>
          <w:sz w:val="20"/>
        </w:rPr>
        <w:br w:type="textWrapping"/>
      </w:r>
      <w:r>
        <w:rPr>
          <w:rFonts w:ascii="Times New Roman" w:hAnsi="Times New Roman"/>
          <w:sz w:val="20"/>
        </w:rPr>
        <w:t>male = df.loc[df['GENDER'] == 'M', 'G_SC']</w:t>
      </w:r>
      <w:r>
        <w:rPr>
          <w:rFonts w:ascii="Times New Roman" w:hAnsi="Times New Roman"/>
          <w:sz w:val="20"/>
        </w:rPr>
        <w:br w:type="textWrapping"/>
      </w:r>
      <w:r>
        <w:rPr>
          <w:rFonts w:ascii="Times New Roman" w:hAnsi="Times New Roman"/>
          <w:sz w:val="20"/>
        </w:rPr>
        <w:t>female = df.loc[df['GENDER'] == 'F', 'G_SC']</w:t>
      </w:r>
      <w:r>
        <w:rPr>
          <w:rFonts w:ascii="Times New Roman" w:hAnsi="Times New Roman"/>
          <w:sz w:val="20"/>
        </w:rPr>
        <w:br w:type="textWrapping"/>
      </w:r>
      <w:r>
        <w:rPr>
          <w:rFonts w:ascii="Times New Roman" w:hAnsi="Times New Roman"/>
          <w:sz w:val="20"/>
        </w:rPr>
        <w:t>stats.ttest_ind(male, female, equal_var=False)</w:t>
      </w:r>
      <w:r>
        <w:rPr>
          <w:rFonts w:ascii="Times New Roman" w:hAnsi="Times New Roman"/>
          <w:sz w:val="20"/>
        </w:rPr>
        <w:br w:type="textWrapping"/>
      </w:r>
    </w:p>
    <w:p w14:paraId="62AAAFDC">
      <w:pPr>
        <w:spacing w:line="240" w:lineRule="auto"/>
        <w:ind w:left="360"/>
      </w:pPr>
      <w:r>
        <w:rPr>
          <w:rFonts w:ascii="Times New Roman" w:hAnsi="Times New Roman"/>
          <w:sz w:val="20"/>
        </w:rPr>
        <w:t># Parental education</w:t>
      </w:r>
      <w:r>
        <w:rPr>
          <w:rFonts w:ascii="Times New Roman" w:hAnsi="Times New Roman"/>
          <w:sz w:val="20"/>
        </w:rPr>
        <w:br w:type="textWrapping"/>
      </w:r>
      <w:r>
        <w:rPr>
          <w:rFonts w:ascii="Times New Roman" w:hAnsi="Times New Roman"/>
          <w:sz w:val="20"/>
        </w:rPr>
        <w:t>mother = df[~df['EDU_MOTHER'].isin([0, 'Not sure'])]</w:t>
      </w:r>
      <w:r>
        <w:rPr>
          <w:rFonts w:ascii="Times New Roman" w:hAnsi="Times New Roman"/>
          <w:sz w:val="20"/>
        </w:rPr>
        <w:br w:type="textWrapping"/>
      </w:r>
      <w:r>
        <w:rPr>
          <w:rFonts w:ascii="Times New Roman" w:hAnsi="Times New Roman"/>
          <w:sz w:val="20"/>
        </w:rPr>
        <w:t>mother.groupby('EDU_MOTHER')['G_SC'].agg(</w:t>
      </w:r>
      <w:r>
        <w:rPr>
          <w:rFonts w:ascii="Times New Roman" w:hAnsi="Times New Roman"/>
          <w:sz w:val="20"/>
        </w:rPr>
        <w:br w:type="textWrapping"/>
      </w:r>
      <w:r>
        <w:rPr>
          <w:rFonts w:ascii="Times New Roman" w:hAnsi="Times New Roman"/>
          <w:sz w:val="20"/>
        </w:rPr>
        <w:t xml:space="preserve">    ['count', 'mean', 'std']</w:t>
      </w:r>
      <w:r>
        <w:rPr>
          <w:rFonts w:ascii="Times New Roman" w:hAnsi="Times New Roman"/>
          <w:sz w:val="20"/>
        </w:rPr>
        <w:br w:type="textWrapping"/>
      </w:r>
      <w:r>
        <w:rPr>
          <w:rFonts w:ascii="Times New Roman" w:hAnsi="Times New Roman"/>
          <w:sz w:val="20"/>
        </w:rPr>
        <w:t>).sort_values('mean')</w:t>
      </w:r>
      <w:r>
        <w:rPr>
          <w:rFonts w:ascii="Times New Roman" w:hAnsi="Times New Roman"/>
          <w:sz w:val="20"/>
        </w:rPr>
        <w:br w:type="textWrapping"/>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Times New Roman Regular">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15E0C">
    <w:pPr>
      <w:pStyle w:val="24"/>
      <w:jc w:val="right"/>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C7FD8076"/>
    <w:rsid w:val="D3FF8D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pPr>
    <w:rPr>
      <w:rFonts w:ascii="Times New Roman" w:hAnsi="Times New Roman"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160" w:after="40" w:line="240" w:lineRule="auto"/>
      <w:outlineLvl w:val="0"/>
    </w:pPr>
    <w:rPr>
      <w:rFonts w:asciiTheme="majorHAnsi" w:hAnsiTheme="majorHAnsi" w:eastAsiaTheme="majorEastAsia" w:cstheme="majorBidi"/>
      <w:b/>
      <w:bCs/>
      <w:color w:val="376092" w:themeColor="accent1" w:themeShade="BF"/>
      <w:sz w:val="24"/>
      <w:szCs w:val="28"/>
    </w:rPr>
  </w:style>
  <w:style w:type="paragraph" w:styleId="4">
    <w:name w:val="heading 2"/>
    <w:basedOn w:val="1"/>
    <w:next w:val="1"/>
    <w:link w:val="139"/>
    <w:unhideWhenUsed/>
    <w:qFormat/>
    <w:uiPriority w:val="9"/>
    <w:pPr>
      <w:keepNext/>
      <w:keepLines/>
      <w:spacing w:before="160" w:after="40" w:line="240" w:lineRule="auto"/>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160" w:after="40" w:line="240" w:lineRule="auto"/>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160" w:after="40" w:line="240" w:lineRule="auto"/>
      <w:contextualSpacing/>
    </w:pPr>
    <w:rPr>
      <w:rFonts w:asciiTheme="majorHAnsi" w:hAnsiTheme="majorHAnsi" w:eastAsiaTheme="majorEastAsia" w:cstheme="majorBidi"/>
      <w:b/>
      <w:color w:val="17375E" w:themeColor="text2" w:themeShade="BF"/>
      <w:spacing w:val="5"/>
      <w:kern w:val="28"/>
      <w:sz w:val="3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aptionCustom"/>
    <w:uiPriority w:val="0"/>
    <w:pPr>
      <w:spacing w:after="60" w:line="240" w:lineRule="auto"/>
    </w:pPr>
    <w:rPr>
      <w:rFonts w:ascii="Times New Roman" w:hAnsi="Times New Roman" w:eastAsiaTheme="minorEastAsia" w:cstheme="minorBidi"/>
      <w:i/>
      <w:sz w:val="20"/>
      <w:szCs w:val="22"/>
      <w:lang w:val="en-US" w:eastAsia="en-US" w:bidi="ar-SA"/>
    </w:rPr>
  </w:style>
  <w:style w:type="paragraph" w:customStyle="1" w:styleId="165">
    <w:name w:val="TableText"/>
    <w:uiPriority w:val="0"/>
    <w:pPr>
      <w:spacing w:after="200" w:line="240" w:lineRule="auto"/>
    </w:pPr>
    <w:rPr>
      <w:rFonts w:ascii="Times New Roman" w:hAnsi="Times New Roman" w:eastAsiaTheme="minorEastAsia" w:cstheme="minorBidi"/>
      <w:sz w:val="19"/>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2621</Words>
  <Characters>16362</Characters>
  <Lines>0</Lines>
  <Paragraphs>0</Paragraphs>
  <TotalTime>1</TotalTime>
  <ScaleCrop>false</ScaleCrop>
  <LinksUpToDate>false</LinksUpToDate>
  <CharactersWithSpaces>18624</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2013-12-23T18:15:00Z</dcterms:created>
  <dc:creator>python-docx</dc:creator>
  <dc:description>generated by python-docx</dc:description>
  <cp:lastModifiedBy>KKRR</cp:lastModifiedBy>
  <dcterms:modified xsi:type="dcterms:W3CDTF">2026-09-28T11:51:32Z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B09285F7B55F3849048DBA6AA3BAAEE3_43</vt:lpwstr>
  </property>
</Properties>
</file>