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经研究，同意 王军峰 同志按以下第（          ）条办理退休，从　   年　  　月执行。</w:t>
              <w:br/>
              <w:t>（一）弹性提前退休</w:t>
              <w:br/>
              <w:t>（二）法定退休年龄退休</w:t>
              <w:br/>
              <w:t xml:space="preserve">                                           年      月     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根据鄂人社发【2017】8号文件规定，同意 王军峰 同志发放一次性独生子女费             元，教育特殊贡献奖               元，从      年     月执行。</w:t>
              <w:br/>
              <w:t xml:space="preserve"> 年      月     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根据人社部发【2024】94号文件规定，同意 王军峰 同志按第</w:t>
              <w:br/>
              <w:t>（    ）条退休，从       年    月执行。</w:t>
              <w:br/>
              <w:br/>
              <w:t xml:space="preserve">                                      年      月    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t>姓名：王军峰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1996-08-01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29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E8D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26D4D626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4E282E12" w14:textId="77777777" w:rsidR="00982724" w:rsidRDefault="00000000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A69E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779BAC5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676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3B16D5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607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间</w:t>
            </w:r>
          </w:p>
          <w:p w14:paraId="163942A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separate"/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«最后一次职务升降时间»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B75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493C514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8EA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26F0C8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560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D57150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8B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0FBF6C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