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经研究，同意 王军锋 同志按以下第（    ）条办理退休，从      年    月执行。</w:t>
              <w:br/>
              <w:t>（一）弹性提前退休</w:t>
              <w:br/>
              <w:t>（二）法定退休年龄退休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根据鄂人社发【2017】8号文件规定，同意 王军锋 同志发放一次性独生子女费          元，教育特殊贡献奖          元，从      年    月执行。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根据人社部发【2024】94号文件规定，同意 王军锋 同志按第（    ）条退休，从      年    月执行。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Fonts w:ascii="仿宋_GB2312" w:hAnsi="仿宋_GB2312" w:eastAsia="仿宋_GB2312"/>
          <w:b w:val="0"/>
          <w:sz w:val="21"/>
        </w:rPr>
        <w:t>编号：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Fonts w:ascii="仿宋_GB2312" w:hAnsi="仿宋_GB2312" w:eastAsia="仿宋_GB2312"/>
          <w:b w:val="0"/>
          <w:sz w:val="28"/>
        </w:rPr>
        <w:t>单位：枣阳市太平镇中心学校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Fonts w:ascii="仿宋_GB2312" w:hAnsi="仿宋_GB2312" w:eastAsia="仿宋_GB2312"/>
          <w:b w:val="0"/>
          <w:sz w:val="28"/>
        </w:rPr>
        <w:t>姓名：王军锋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王军锋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