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2F311">
      <w:pPr>
        <w:spacing w:after="400" w:line="400" w:lineRule="atLeast"/>
      </w:pPr>
      <w:bookmarkStart w:id="0" w:name="_GoBack"/>
      <w:bookmarkEnd w:id="0"/>
      <w:r>
        <w:t>根据您对“退休教师呈报”业务清单的详细要求，我们重新规划并细化开发指令。此功能将通过扩展核心配置与事件驱动，实现清单的集中管理、动态推送与智能交互。</w:t>
      </w:r>
    </w:p>
    <w:p w14:paraId="7C31FF7C">
      <w:pPr>
        <w:spacing w:after="400" w:line="400" w:lineRule="atLeast"/>
      </w:pPr>
      <w:r>
        <w:rPr>
          <w:b/>
        </w:rPr>
        <w:t>核心约定：</w:t>
      </w:r>
    </w:p>
    <w:p w14:paraId="20976114">
      <w:pPr>
        <w:spacing w:after="400" w:line="400" w:lineRule="atLeast"/>
      </w:pPr>
      <w:r>
        <w:t>任何新功能的开发，第一步就是明确需要修改或扩充哪个配置文件，从而从源头区分功能归属，避免代码交织 [[动态数据]]。本功能的核心是创建并维护一个集中管理的“业务清单”配置表，并驱动主页待办工作区进行展示与交互。</w:t>
      </w:r>
    </w:p>
    <w:p w14:paraId="40BFE3EE">
      <w:pPr>
        <w:spacing w:after="400" w:line="400" w:lineRule="atLeast"/>
      </w:pPr>
      <w:r>
        <w:rPr>
          <w:b/>
          <w:sz w:val="30"/>
        </w:rPr>
        <w:t>“退休呈报”业务清单与待办工作集成 - AI 执行指令集</w:t>
      </w:r>
    </w:p>
    <w:p w14:paraId="5887F6C0">
      <w:pPr>
        <w:spacing w:after="400" w:line="400" w:lineRule="atLeast"/>
      </w:pPr>
      <w:r>
        <w:rPr>
          <w:b/>
        </w:rPr>
        <w:t>指令1：设计并创建集中管理的“业务清单”配置表</w:t>
      </w:r>
    </w:p>
    <w:p w14:paraId="6E21FECD">
      <w:pPr>
        <w:numPr>
          <w:ilvl w:val="-1"/>
          <w:numId w:val="1"/>
        </w:numPr>
        <w:spacing w:after="400" w:line="400" w:lineRule="atLeast"/>
      </w:pPr>
      <w:r>
        <w:rPr>
          <w:b/>
        </w:rPr>
        <w:t>动作</w:t>
      </w:r>
      <w:r>
        <w:t>：使用系统通用导入功能，创建业务清单主表 business_checklist。字段结构如下（使用中文字段名）：</w:t>
      </w:r>
    </w:p>
    <w:p w14:paraId="14FA33E7">
      <w:pPr>
        <w:numPr>
          <w:ilvl w:val="-1"/>
          <w:numId w:val="1"/>
        </w:numPr>
        <w:spacing w:after="400" w:line="400" w:lineRule="atLeast"/>
      </w:pPr>
      <w:r>
        <w:t>id (INTEGER，自增主键)</w:t>
      </w:r>
    </w:p>
    <w:p w14:paraId="62D7CB21">
      <w:pPr>
        <w:numPr>
          <w:ilvl w:val="-1"/>
          <w:numId w:val="1"/>
        </w:numPr>
        <w:spacing w:after="400" w:line="400" w:lineRule="atLeast"/>
      </w:pPr>
      <w:r>
        <w:t>清单名称 (VARCHAR，如“退休教师呈报业务清单”)</w:t>
      </w:r>
    </w:p>
    <w:p w14:paraId="6D0DFF7D">
      <w:pPr>
        <w:numPr>
          <w:ilvl w:val="-1"/>
          <w:numId w:val="1"/>
        </w:numPr>
        <w:spacing w:after="400" w:line="400" w:lineRule="atLeast"/>
      </w:pPr>
      <w:r>
        <w:t>触发条件 (VARCHAR，JSON格式，如 {“source_status”: “在职”, “target_status”: “退休”})</w:t>
      </w:r>
    </w:p>
    <w:p w14:paraId="543A2CD2">
      <w:pPr>
        <w:numPr>
          <w:ilvl w:val="-1"/>
          <w:numId w:val="1"/>
        </w:numPr>
        <w:spacing w:after="400" w:line="400" w:lineRule="atLeast"/>
      </w:pPr>
      <w:r>
        <w:t>任务项列表 (TEXT，JSON数组格式，用于存储指令中要求的七项具体任务定义，包含标题、类型、目标、参数等)</w:t>
      </w:r>
    </w:p>
    <w:p w14:paraId="1BB22119">
      <w:pPr>
        <w:numPr>
          <w:ilvl w:val="-1"/>
          <w:numId w:val="1"/>
        </w:numPr>
        <w:spacing w:after="400" w:line="400" w:lineRule="atLeast"/>
      </w:pPr>
      <w:r>
        <w:t>是否有效 (BOOLEAN)</w:t>
      </w:r>
    </w:p>
    <w:p w14:paraId="7D2BE7F3">
      <w:pPr>
        <w:numPr>
          <w:ilvl w:val="-1"/>
          <w:numId w:val="1"/>
        </w:numPr>
        <w:spacing w:after="400" w:line="400" w:lineRule="atLeast"/>
      </w:pPr>
      <w:r>
        <w:rPr>
          <w:b/>
        </w:rPr>
        <w:t>检查点</w:t>
      </w:r>
      <w:r>
        <w:t>：表成功创建，其结构定义原子化写入 merged_schema_mappings.json 的 “tables” 部分 [[数据库设计]]。通过数据管理界面，插入一条完整的“退休教师呈报”清单定义，包含七项任务的具体配置（如类型区分“内部表”、“外部链接”，目标字段存储表名或URL）。</w:t>
      </w:r>
    </w:p>
    <w:p w14:paraId="5EDE6F5F">
      <w:pPr>
        <w:numPr>
          <w:ilvl w:val="-1"/>
          <w:numId w:val="1"/>
        </w:numPr>
        <w:spacing w:after="400" w:line="400" w:lineRule="atLeast"/>
      </w:pPr>
      <w:r>
        <w:rPr>
          <w:b/>
        </w:rPr>
        <w:t>理念强调</w:t>
      </w:r>
      <w:r>
        <w:t>：清单本身作为配置数据存在，实现真正的“集中统一管理”，未来任何修改只需在此表中更新数据 [[模块管理]]。</w:t>
      </w:r>
    </w:p>
    <w:p w14:paraId="1B1D18DE">
      <w:pPr>
        <w:spacing w:after="400" w:line="400" w:lineRule="atLeast"/>
      </w:pPr>
      <w:r>
        <w:rPr>
          <w:b/>
        </w:rPr>
        <w:t>指令2：实现状态变更触发与清单实例化API</w:t>
      </w:r>
    </w:p>
    <w:p w14:paraId="395025AD">
      <w:pPr>
        <w:numPr>
          <w:ilvl w:val="-1"/>
          <w:numId w:val="1"/>
        </w:numPr>
        <w:spacing w:after="400" w:line="400" w:lineRule="atLeast"/>
      </w:pPr>
      <w:r>
        <w:rPr>
          <w:b/>
        </w:rPr>
        <w:t>动作</w:t>
      </w:r>
      <w:r>
        <w:t>：在 backend/routes/status_change.py 中增强 POST /api/status-change/process 接口逻辑。当教师状态变更为“退休”时，系统应：</w:t>
      </w:r>
    </w:p>
    <w:p w14:paraId="374C39DC">
      <w:pPr>
        <w:numPr>
          <w:ilvl w:val="0"/>
          <w:numId w:val="2"/>
        </w:numPr>
        <w:spacing w:after="400" w:line="400" w:lineRule="atLeast"/>
      </w:pPr>
      <w:r>
        <w:t>根据触发条件查询 business_checklist 表，找到匹配的清单模板。</w:t>
      </w:r>
    </w:p>
    <w:p w14:paraId="42EAB917">
      <w:pPr>
        <w:numPr>
          <w:ilvl w:val="0"/>
          <w:numId w:val="2"/>
        </w:numPr>
        <w:spacing w:after="400" w:line="400" w:lineRule="atLeast"/>
      </w:pPr>
      <w:r>
        <w:t>将模板中的“任务项列表”与当前教师信息（姓名、ID等）结合，</w:t>
      </w:r>
      <w:r>
        <w:rPr>
          <w:b/>
        </w:rPr>
        <w:t>实例化</w:t>
      </w:r>
      <w:r>
        <w:t>为一条具体的待办工作记录，存入 todo_work_items 表。该表需记录教师ID、清单ID、每项任务的完成状态等。</w:t>
      </w:r>
    </w:p>
    <w:p w14:paraId="54A6709D">
      <w:pPr>
        <w:numPr>
          <w:ilvl w:val="0"/>
          <w:numId w:val="2"/>
        </w:numPr>
        <w:spacing w:after="400" w:line="400" w:lineRule="atLeast"/>
      </w:pPr>
      <w:r>
        <w:t>返回实例化后的清单详情，包括“共X项，已完成Y项”的统计。</w:t>
      </w:r>
    </w:p>
    <w:p w14:paraId="586C4247">
      <w:pPr>
        <w:numPr>
          <w:ilvl w:val="-1"/>
          <w:numId w:val="2"/>
        </w:numPr>
        <w:spacing w:after="400" w:line="400" w:lineRule="atLeast"/>
      </w:pPr>
      <w:r>
        <w:rPr>
          <w:b/>
        </w:rPr>
        <w:t>检查点</w:t>
      </w:r>
      <w:r>
        <w:t>：状态变更后，todo_work_items 表中生成一条包含七项子任务、且与特定教师绑定的待办记录。</w:t>
      </w:r>
    </w:p>
    <w:p w14:paraId="785B17D1">
      <w:pPr>
        <w:numPr>
          <w:ilvl w:val="-1"/>
          <w:numId w:val="2"/>
        </w:numPr>
        <w:spacing w:after="400" w:line="400" w:lineRule="atLeast"/>
      </w:pPr>
      <w:r>
        <w:rPr>
          <w:b/>
        </w:rPr>
        <w:t>理念强调</w:t>
      </w:r>
      <w:r>
        <w:t>：通过API将业务规则（配置）转化为具体的待办事项（数据），是事件驱动工作流的核心 [[系统开发]]。</w:t>
      </w:r>
    </w:p>
    <w:p w14:paraId="5500088F">
      <w:pPr>
        <w:spacing w:after="400" w:line="400" w:lineRule="atLeast"/>
      </w:pPr>
      <w:r>
        <w:rPr>
          <w:b/>
        </w:rPr>
        <w:t>指令3：开发主页待办工作区组件并集成清单渲染</w:t>
      </w:r>
    </w:p>
    <w:p w14:paraId="3E9159C0">
      <w:pPr>
        <w:numPr>
          <w:ilvl w:val="-1"/>
          <w:numId w:val="1"/>
        </w:numPr>
        <w:spacing w:after="400" w:line="400" w:lineRule="atLeast"/>
      </w:pPr>
      <w:r>
        <w:rPr>
          <w:b/>
        </w:rPr>
        <w:t>动作</w:t>
      </w:r>
      <w:r>
        <w:t>：修改主页仪表板 (Dashboard.vue) 的“待办工作”区域。</w:t>
      </w:r>
    </w:p>
    <w:p w14:paraId="33FD88C0">
      <w:pPr>
        <w:numPr>
          <w:ilvl w:val="0"/>
          <w:numId w:val="3"/>
        </w:numPr>
        <w:spacing w:after="400" w:line="400" w:lineRule="atLeast"/>
      </w:pPr>
      <w:r>
        <w:t>组件加载时，调用新的 GET /api/todo-work/list 接口，获取当前用户的待办清单列表。</w:t>
      </w:r>
    </w:p>
    <w:p w14:paraId="42D9DB5E">
      <w:pPr>
        <w:numPr>
          <w:ilvl w:val="0"/>
          <w:numId w:val="3"/>
        </w:numPr>
        <w:spacing w:after="400" w:line="400" w:lineRule="atLeast"/>
      </w:pPr>
      <w:r>
        <w:t>对于“退休教师呈报”清单，渲染格式为：“新增退休教师XXX（教师姓名）业务清单（共7项，已完成Y项）”。</w:t>
      </w:r>
    </w:p>
    <w:p w14:paraId="278D12A7">
      <w:pPr>
        <w:numPr>
          <w:ilvl w:val="0"/>
          <w:numId w:val="3"/>
        </w:numPr>
        <w:spacing w:after="400" w:line="400" w:lineRule="atLeast"/>
      </w:pPr>
      <w:r>
        <w:t>点击该清单条目，展开详情抽屉，严格按照要求的样式（一、二、三…）渲染七项任务。每条任务尾部显示复选框(el-checkbox)。</w:t>
      </w:r>
    </w:p>
    <w:p w14:paraId="41659622">
      <w:pPr>
        <w:numPr>
          <w:ilvl w:val="-1"/>
          <w:numId w:val="3"/>
        </w:numPr>
        <w:spacing w:after="400" w:line="400" w:lineRule="atLeast"/>
      </w:pPr>
      <w:r>
        <w:rPr>
          <w:b/>
        </w:rPr>
        <w:t>检查点</w:t>
      </w:r>
      <w:r>
        <w:t>：主页待办区正确显示推送的清单及统计。点击后抽屉弹出，七项任务以规定样式列出，每条带复选框。</w:t>
      </w:r>
    </w:p>
    <w:p w14:paraId="40AF7402">
      <w:pPr>
        <w:numPr>
          <w:ilvl w:val="-1"/>
          <w:numId w:val="3"/>
        </w:numPr>
        <w:spacing w:after="400" w:line="400" w:lineRule="atLeast"/>
      </w:pPr>
      <w:r>
        <w:rPr>
          <w:b/>
        </w:rPr>
        <w:t>理念强调</w:t>
      </w:r>
      <w:r>
        <w:t>：主页作为信息门户，集成并可视化由配置驱动的动态待办事项，提升用户操作效率 [[系统说明]]。</w:t>
      </w:r>
    </w:p>
    <w:p w14:paraId="7B21A662">
      <w:pPr>
        <w:spacing w:after="400" w:line="400" w:lineRule="atLeast"/>
      </w:pPr>
      <w:r>
        <w:rPr>
          <w:b/>
        </w:rPr>
        <w:t>指令4：实现清单任务的多类型交互逻辑</w:t>
      </w:r>
    </w:p>
    <w:p w14:paraId="7C275558">
      <w:pPr>
        <w:numPr>
          <w:ilvl w:val="-1"/>
          <w:numId w:val="1"/>
        </w:numPr>
        <w:spacing w:after="400" w:line="400" w:lineRule="atLeast"/>
      </w:pPr>
      <w:r>
        <w:rPr>
          <w:b/>
        </w:rPr>
        <w:t>动作</w:t>
      </w:r>
      <w:r>
        <w:t>：在清单任务抽屉组件 (ChecklistDrawer.vue) 中，为每项任务实现点击逻辑：</w:t>
      </w:r>
    </w:p>
    <w:p w14:paraId="71FF1CE0">
      <w:pPr>
        <w:numPr>
          <w:ilvl w:val="-1"/>
          <w:numId w:val="1"/>
        </w:numPr>
        <w:spacing w:after="400" w:line="400" w:lineRule="atLeast"/>
      </w:pPr>
      <w:r>
        <w:rPr>
          <w:b/>
        </w:rPr>
        <w:t>类型：填报内部表</w:t>
      </w:r>
      <w:r>
        <w:t>（如一、三、七项）：点击后，路由至 GenericDataView.vue，通过参数table_name打开对应数据表，并利用prefill_rules自动填充教师姓名、身份证号，经用户确认后提交 [[报表自动化]]。</w:t>
      </w:r>
    </w:p>
    <w:p w14:paraId="4B321EB2">
      <w:pPr>
        <w:numPr>
          <w:ilvl w:val="-1"/>
          <w:numId w:val="1"/>
        </w:numPr>
        <w:spacing w:after="400" w:line="400" w:lineRule="atLeast"/>
      </w:pPr>
      <w:r>
        <w:rPr>
          <w:b/>
        </w:rPr>
        <w:t>类型：跳转外部链接</w:t>
      </w:r>
      <w:r>
        <w:t>（如二、四、七项）：点击后，使用 window.open 在新标签页打开配置的URL（如湖北政务网）。</w:t>
      </w:r>
    </w:p>
    <w:p w14:paraId="2215A391">
      <w:pPr>
        <w:numPr>
          <w:ilvl w:val="-1"/>
          <w:numId w:val="1"/>
        </w:numPr>
        <w:spacing w:after="400" w:line="400" w:lineRule="atLeast"/>
      </w:pPr>
      <w:r>
        <w:rPr>
          <w:b/>
        </w:rPr>
        <w:t>类型：自动汇总</w:t>
      </w:r>
      <w:r>
        <w:t>（如第五项）：点击“执行汇总”按钮，触发后端API。该API根据退休教师职务，查询并生成汇总文本，自动写入“绩效工资”相关表的备注栏 [[人员统计]]。</w:t>
      </w:r>
    </w:p>
    <w:p w14:paraId="3B0C1CE7">
      <w:pPr>
        <w:numPr>
          <w:ilvl w:val="-1"/>
          <w:numId w:val="1"/>
        </w:numPr>
        <w:spacing w:after="400" w:line="400" w:lineRule="atLeast"/>
      </w:pPr>
      <w:r>
        <w:rPr>
          <w:b/>
        </w:rPr>
        <w:t>类型：签发退休证</w:t>
      </w:r>
      <w:r>
        <w:t>（如第六项）：点击后，打开一个简易表单，录入签收人与日期，保存至retirement_cert_records表。</w:t>
      </w:r>
    </w:p>
    <w:p w14:paraId="3E4F5A61">
      <w:pPr>
        <w:numPr>
          <w:ilvl w:val="-1"/>
          <w:numId w:val="1"/>
        </w:numPr>
        <w:spacing w:after="400" w:line="400" w:lineRule="atLeast"/>
      </w:pPr>
      <w:r>
        <w:rPr>
          <w:b/>
        </w:rPr>
        <w:t>检查点</w:t>
      </w:r>
      <w:r>
        <w:t>：点击不同任务，能正确触发对应的内部表单、外部网页或自动汇总操作。</w:t>
      </w:r>
    </w:p>
    <w:p w14:paraId="7C714860">
      <w:pPr>
        <w:numPr>
          <w:ilvl w:val="-1"/>
          <w:numId w:val="1"/>
        </w:numPr>
        <w:spacing w:after="400" w:line="400" w:lineRule="atLeast"/>
      </w:pPr>
      <w:r>
        <w:rPr>
          <w:b/>
        </w:rPr>
        <w:t>理念强调</w:t>
      </w:r>
      <w:r>
        <w:t>：通过任务类型配置，同一清单组件可驱动截然不同的业务操作，实现极致的灵活性与复用性 。</w:t>
      </w:r>
    </w:p>
    <w:p w14:paraId="200E6C9A">
      <w:pPr>
        <w:spacing w:after="400" w:line="400" w:lineRule="atLeast"/>
      </w:pPr>
      <w:r>
        <w:rPr>
          <w:b/>
        </w:rPr>
        <w:t>指令5：实现任务完成状态同步与统计实时更新</w:t>
      </w:r>
    </w:p>
    <w:p w14:paraId="3E5BDEA6">
      <w:pPr>
        <w:numPr>
          <w:ilvl w:val="-1"/>
          <w:numId w:val="1"/>
        </w:numPr>
        <w:spacing w:after="400" w:line="400" w:lineRule="atLeast"/>
      </w:pPr>
      <w:r>
        <w:rPr>
          <w:b/>
        </w:rPr>
        <w:t>动作</w:t>
      </w:r>
      <w:r>
        <w:t>：</w:t>
      </w:r>
    </w:p>
    <w:p w14:paraId="28038659">
      <w:pPr>
        <w:numPr>
          <w:ilvl w:val="0"/>
          <w:numId w:val="4"/>
        </w:numPr>
        <w:spacing w:after="400" w:line="400" w:lineRule="atLeast"/>
      </w:pPr>
      <w:r>
        <w:t>前端：当用户勾选或取消勾选任务复选框时，立即调用 POST /api/todo-work/update-status 接口，更新该任务在 todo_work_items 表中的完成状态。</w:t>
      </w:r>
    </w:p>
    <w:p w14:paraId="2C042B00">
      <w:pPr>
        <w:numPr>
          <w:ilvl w:val="0"/>
          <w:numId w:val="4"/>
        </w:numPr>
        <w:spacing w:after="400" w:line="400" w:lineRule="atLeast"/>
      </w:pPr>
      <w:r>
        <w:t>后端：该接口处理更新，并重新计算该清单的“已完成项数”。</w:t>
      </w:r>
    </w:p>
    <w:p w14:paraId="7BB73988">
      <w:pPr>
        <w:numPr>
          <w:ilvl w:val="0"/>
          <w:numId w:val="4"/>
        </w:numPr>
        <w:spacing w:after="400" w:line="400" w:lineRule="atLeast"/>
      </w:pPr>
      <w:r>
        <w:t>前端：收到成功响应后，实时更新清单标题中的统计数字（共7项，已完成Y项）。</w:t>
      </w:r>
    </w:p>
    <w:p w14:paraId="0C783A1E">
      <w:pPr>
        <w:numPr>
          <w:ilvl w:val="-1"/>
          <w:numId w:val="4"/>
        </w:numPr>
        <w:spacing w:after="400" w:line="400" w:lineRule="atLeast"/>
      </w:pPr>
      <w:r>
        <w:rPr>
          <w:b/>
        </w:rPr>
        <w:t>检查点</w:t>
      </w:r>
      <w:r>
        <w:t>：勾选复选框后，列表状态持久化，清单标题后的统计数字立即改变。</w:t>
      </w:r>
    </w:p>
    <w:p w14:paraId="04FAB66E">
      <w:pPr>
        <w:numPr>
          <w:ilvl w:val="-1"/>
          <w:numId w:val="4"/>
        </w:numPr>
        <w:spacing w:after="400" w:line="400" w:lineRule="atLeast"/>
      </w:pPr>
      <w:r>
        <w:rPr>
          <w:b/>
        </w:rPr>
        <w:t>理念强调</w:t>
      </w:r>
      <w:r>
        <w:t>：状态实时同步确保了待办工作统计的准确性，为用户提供清晰的进度反馈 [[数据驱动]]。</w:t>
      </w:r>
    </w:p>
    <w:p w14:paraId="01B9E4E7">
      <w:pPr>
        <w:spacing w:after="400" w:line="400" w:lineRule="atLeast"/>
      </w:pPr>
      <w:r>
        <w:rPr>
          <w:b/>
        </w:rPr>
        <w:t>指令6：创建“清单管理”模块进行配置维护</w:t>
      </w:r>
    </w:p>
    <w:p w14:paraId="0A6F0B88">
      <w:pPr>
        <w:numPr>
          <w:ilvl w:val="-1"/>
          <w:numId w:val="1"/>
        </w:numPr>
        <w:spacing w:after="400" w:line="400" w:lineRule="atLeast"/>
      </w:pPr>
      <w:r>
        <w:rPr>
          <w:b/>
        </w:rPr>
        <w:t>动作</w:t>
      </w:r>
      <w:r>
        <w:t>：在“系统管理”下创建“清单管理”节点，关联至 business_checklist 表。提供对该表的通用数据管理功能（增、删、改、查），允许管理员直接编辑清单模板，包括增删任务项、修改触发条件等 [[模块管理]]。</w:t>
      </w:r>
    </w:p>
    <w:p w14:paraId="384B9283">
      <w:pPr>
        <w:numPr>
          <w:ilvl w:val="-1"/>
          <w:numId w:val="1"/>
        </w:numPr>
        <w:spacing w:after="400" w:line="400" w:lineRule="atLeast"/>
      </w:pPr>
      <w:r>
        <w:rPr>
          <w:b/>
        </w:rPr>
        <w:t>检查点</w:t>
      </w:r>
      <w:r>
        <w:t>：管理员可通过该界面修改“退休呈报”清单的任意内容，修改后立即对新触发的状态变更生效。</w:t>
      </w:r>
    </w:p>
    <w:p w14:paraId="441825F3">
      <w:pPr>
        <w:numPr>
          <w:ilvl w:val="-1"/>
          <w:numId w:val="1"/>
        </w:numPr>
        <w:spacing w:after="400" w:line="400" w:lineRule="atLeast"/>
      </w:pPr>
      <w:r>
        <w:rPr>
          <w:b/>
        </w:rPr>
        <w:t>理念强调</w:t>
      </w:r>
      <w:r>
        <w:t>：将核心业务规则的维护能力通过通用数据界面交付给管理员，是系统持续演进的关键 [[模块管理]]。</w:t>
      </w:r>
    </w:p>
    <w:p w14:paraId="531535EA">
      <w:pPr>
        <w:spacing w:after="400" w:line="400" w:lineRule="atLeast"/>
      </w:pPr>
      <w:r>
        <w:t>通过以上指令，系统将实现一个完全由配置驱动、与外部系统无缝集成、且体验流畅的智能业务清单推送与管理系统。</w:t>
      </w:r>
    </w:p>
    <w:p w14:paraId="43446AAF">
      <w:pPr>
        <w:spacing w:after="400" w:line="400" w:lineRule="atLeast"/>
      </w:pPr>
      <w:r>
        <w:rPr>
          <w:b/>
          <w:sz w:val="33"/>
        </w:rPr>
        <w:t>参考资料</w:t>
      </w:r>
    </w:p>
    <w:p w14:paraId="45F02DCF">
      <w:pPr>
        <w:spacing w:after="200" w:line="400" w:lineRule="atLeast"/>
      </w:pPr>
      <w:r>
        <w:fldChar w:fldCharType="begin"/>
      </w:r>
      <w:r>
        <w:instrText xml:space="preserve"> HYPERLINK "https://metaso.cn/api/file/8677353455472136192/preview" \h </w:instrText>
      </w:r>
      <w:r>
        <w:fldChar w:fldCharType="separate"/>
      </w:r>
      <w:r>
        <w:rPr>
          <w:rStyle w:val="13"/>
          <w:color w:val="0563C1"/>
        </w:rPr>
        <w:t>动态数据驱动”系统核心理念与实现方案 .[动态数据]</w:t>
      </w:r>
      <w:r>
        <w:rPr>
          <w:rStyle w:val="13"/>
          <w:color w:val="0563C1"/>
        </w:rPr>
        <w:fldChar w:fldCharType="end"/>
      </w:r>
    </w:p>
    <w:p w14:paraId="544026C4">
      <w:pPr>
        <w:spacing w:after="200" w:line="400" w:lineRule="atLeast"/>
      </w:pPr>
      <w:r>
        <w:fldChar w:fldCharType="begin"/>
      </w:r>
      <w:r>
        <w:instrText xml:space="preserve"> HYPERLINK "https://metaso.cn/api/file/8677353455539765248/preview" \h </w:instrText>
      </w:r>
      <w:r>
        <w:fldChar w:fldCharType="separate"/>
      </w:r>
      <w:r>
        <w:rPr>
          <w:rStyle w:val="13"/>
          <w:color w:val="0563C1"/>
        </w:rPr>
        <w:t>字段属性与映射核心内容整理 .[数据库设计]</w:t>
      </w:r>
      <w:r>
        <w:rPr>
          <w:rStyle w:val="13"/>
          <w:color w:val="0563C1"/>
        </w:rPr>
        <w:fldChar w:fldCharType="end"/>
      </w:r>
    </w:p>
    <w:p w14:paraId="7ABBA06D">
      <w:pPr>
        <w:spacing w:after="200" w:line="400" w:lineRule="atLeast"/>
      </w:pPr>
      <w:r>
        <w:fldChar w:fldCharType="begin"/>
      </w:r>
      <w:r>
        <w:instrText xml:space="preserve"> HYPERLINK "https://metaso.cn/api/file/8677349921815711744/preview" \h </w:instrText>
      </w:r>
      <w:r>
        <w:fldChar w:fldCharType="separate"/>
      </w:r>
      <w:r>
        <w:rPr>
          <w:rStyle w:val="13"/>
          <w:color w:val="0563C1"/>
        </w:rPr>
        <w:t>模块管理组件功能实施方案 .[模块管理]</w:t>
      </w:r>
      <w:r>
        <w:rPr>
          <w:rStyle w:val="13"/>
          <w:color w:val="0563C1"/>
        </w:rPr>
        <w:fldChar w:fldCharType="end"/>
      </w:r>
    </w:p>
    <w:p w14:paraId="24B0758B">
      <w:pPr>
        <w:spacing w:after="200" w:line="400" w:lineRule="atLeast"/>
      </w:pPr>
      <w:r>
        <w:fldChar w:fldCharType="begin"/>
      </w:r>
      <w:r>
        <w:instrText xml:space="preserve"> HYPERLINK "https://metaso.cn/api/file/8676900785901957120/preview" \h </w:instrText>
      </w:r>
      <w:r>
        <w:fldChar w:fldCharType="separate"/>
      </w:r>
      <w:r>
        <w:rPr>
          <w:rStyle w:val="13"/>
          <w:color w:val="0563C1"/>
        </w:rPr>
        <w:t>人事工资党建管理系统开发方案 .[系统开发]</w:t>
      </w:r>
      <w:r>
        <w:rPr>
          <w:rStyle w:val="13"/>
          <w:color w:val="0563C1"/>
        </w:rPr>
        <w:fldChar w:fldCharType="end"/>
      </w:r>
    </w:p>
    <w:p w14:paraId="51F1D2EA">
      <w:pPr>
        <w:spacing w:after="200" w:line="400" w:lineRule="atLeast"/>
      </w:pPr>
      <w:r>
        <w:fldChar w:fldCharType="begin"/>
      </w:r>
      <w:r>
        <w:instrText xml:space="preserve"> HYPERLINK "https://metaso.cn/api/file/8677892781116305408/preview" \h </w:instrText>
      </w:r>
      <w:r>
        <w:fldChar w:fldCharType="separate"/>
      </w:r>
      <w:r>
        <w:rPr>
          <w:rStyle w:val="13"/>
          <w:color w:val="0563C1"/>
        </w:rPr>
        <w:t>太平教育人事工资党建管理系统 .[系统说明]</w:t>
      </w:r>
      <w:r>
        <w:rPr>
          <w:rStyle w:val="13"/>
          <w:color w:val="0563C1"/>
        </w:rPr>
        <w:fldChar w:fldCharType="end"/>
      </w:r>
    </w:p>
    <w:p w14:paraId="3C3C14BE">
      <w:pPr>
        <w:spacing w:after="200" w:line="400" w:lineRule="atLeast"/>
      </w:pPr>
      <w:r>
        <w:fldChar w:fldCharType="begin"/>
      </w:r>
      <w:r>
        <w:instrText xml:space="preserve"> HYPERLINK "https://metaso.cn/api/file/8677344750542049280/preview" \h </w:instrText>
      </w:r>
      <w:r>
        <w:fldChar w:fldCharType="separate"/>
      </w:r>
      <w:r>
        <w:rPr>
          <w:rStyle w:val="13"/>
          <w:color w:val="0563C1"/>
        </w:rPr>
        <w:t>一键创建并填充报表流程实施方案 .[报表自动化]</w:t>
      </w:r>
      <w:r>
        <w:rPr>
          <w:rStyle w:val="13"/>
          <w:color w:val="0563C1"/>
        </w:rPr>
        <w:fldChar w:fldCharType="end"/>
      </w:r>
    </w:p>
    <w:p w14:paraId="7106E25A">
      <w:pPr>
        <w:spacing w:after="200" w:line="400" w:lineRule="atLeast"/>
      </w:pPr>
      <w:r>
        <w:fldChar w:fldCharType="begin"/>
      </w:r>
      <w:r>
        <w:instrText xml:space="preserve"> HYPERLINK "https://metaso.cn/api/file/8677366271235768320/preview" \h </w:instrText>
      </w:r>
      <w:r>
        <w:fldChar w:fldCharType="separate"/>
      </w:r>
      <w:r>
        <w:rPr>
          <w:rStyle w:val="13"/>
          <w:color w:val="0563C1"/>
        </w:rPr>
        <w:t>如何解决复杂人员统计问题（超详细注释版） .[人员统计]</w:t>
      </w:r>
      <w:r>
        <w:rPr>
          <w:rStyle w:val="13"/>
          <w:color w:val="0563C1"/>
        </w:rPr>
        <w:fldChar w:fldCharType="end"/>
      </w:r>
    </w:p>
    <w:p w14:paraId="24D9928B">
      <w:pPr>
        <w:spacing w:after="200" w:line="400" w:lineRule="atLeast"/>
      </w:pPr>
      <w:r>
        <w:fldChar w:fldCharType="begin"/>
      </w:r>
      <w:r>
        <w:instrText xml:space="preserve"> HYPERLINK "https://metaso.cn/api/file/8677335140598075392/preview" \h </w:instrText>
      </w:r>
      <w:r>
        <w:fldChar w:fldCharType="separate"/>
      </w:r>
      <w:r>
        <w:rPr>
          <w:rStyle w:val="13"/>
          <w:color w:val="0563C1"/>
        </w:rPr>
        <w:t>动态数据驱动系统开发指导手册 .[数据驱动]</w:t>
      </w:r>
      <w:r>
        <w:rPr>
          <w:rStyle w:val="13"/>
          <w:color w:val="0563C1"/>
        </w:rPr>
        <w:fldChar w:fldCharType="end"/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3F6A3">
    <w:r>
      <w:rPr>
        <w:color w:val="808080"/>
        <w:sz w:val="18"/>
      </w:rPr>
      <w:t>内容为AI生成，可能不准确，请谨慎参考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C86A2">
    <w:pPr>
      <w:jc w:val="right"/>
    </w:pPr>
    <w:r>
      <w:drawing>
        <wp:inline distT="0" distB="0" distL="0" distR="0">
          <wp:extent cx="1336675" cy="320675"/>
          <wp:effectExtent l="0" t="0" r="0" b="0"/>
          <wp:docPr id="7768" name="image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68" name="image" descr="imag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71875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suff w:val="nothing"/>
      <w:lvlText w:val=""/>
      <w:lvlJc w:val="left"/>
      <w:rPr>
        <w:rFonts w:hint="default" w:ascii="Wingdings" w:hAnsi="Wingdings"/>
      </w:rPr>
    </w:lvl>
    <w:lvl w:ilvl="1" w:tentative="0">
      <w:start w:val="1"/>
      <w:numFmt w:val="bullet"/>
      <w:suff w:val="nothing"/>
      <w:lvlText w:val=""/>
      <w:lvlJc w:val="left"/>
      <w:pPr>
        <w:ind w:left="210"/>
      </w:pPr>
      <w:rPr>
        <w:rFonts w:hint="default" w:ascii="Wingdings" w:hAnsi="Wingdings"/>
      </w:rPr>
    </w:lvl>
    <w:lvl w:ilvl="2" w:tentative="0">
      <w:start w:val="1"/>
      <w:numFmt w:val="bullet"/>
      <w:suff w:val="nothing"/>
      <w:lvlText w:val=""/>
      <w:lvlJc w:val="left"/>
      <w:pPr>
        <w:ind w:left="420"/>
      </w:pPr>
      <w:rPr>
        <w:rFonts w:hint="default" w:ascii="Wingdings" w:hAnsi="Wingdings"/>
      </w:rPr>
    </w:lvl>
    <w:lvl w:ilvl="3" w:tentative="0">
      <w:start w:val="1"/>
      <w:numFmt w:val="bullet"/>
      <w:suff w:val="nothing"/>
      <w:lvlText w:val=""/>
      <w:lvlJc w:val="left"/>
      <w:pPr>
        <w:ind w:left="630"/>
      </w:pPr>
      <w:rPr>
        <w:rFonts w:hint="default" w:ascii="Wingdings" w:hAnsi="Wingdings"/>
      </w:rPr>
    </w:lvl>
    <w:lvl w:ilvl="4" w:tentative="0">
      <w:start w:val="1"/>
      <w:numFmt w:val="bullet"/>
      <w:suff w:val="nothing"/>
      <w:lvlText w:val=""/>
      <w:lvlJc w:val="left"/>
      <w:pPr>
        <w:ind w:left="840"/>
      </w:pPr>
      <w:rPr>
        <w:rFonts w:hint="default" w:ascii="Wingdings" w:hAnsi="Wingdings"/>
      </w:rPr>
    </w:lvl>
    <w:lvl w:ilvl="5" w:tentative="0">
      <w:start w:val="1"/>
      <w:numFmt w:val="bullet"/>
      <w:suff w:val="nothing"/>
      <w:lvlText w:val=""/>
      <w:lvlJc w:val="left"/>
      <w:pPr>
        <w:ind w:left="1050"/>
      </w:pPr>
      <w:rPr>
        <w:rFonts w:hint="default" w:ascii="Wingdings" w:hAnsi="Wingdings"/>
      </w:rPr>
    </w:lvl>
    <w:lvl w:ilvl="6" w:tentative="0">
      <w:start w:val="1"/>
      <w:numFmt w:val="bullet"/>
      <w:suff w:val="nothing"/>
      <w:lvlText w:val=""/>
      <w:lvlJc w:val="left"/>
      <w:pPr>
        <w:ind w:left="1260"/>
      </w:pPr>
      <w:rPr>
        <w:rFonts w:hint="default" w:ascii="Wingdings" w:hAnsi="Wingdings"/>
      </w:rPr>
    </w:lvl>
    <w:lvl w:ilvl="7" w:tentative="0">
      <w:start w:val="1"/>
      <w:numFmt w:val="bullet"/>
      <w:suff w:val="nothing"/>
      <w:lvlText w:val=""/>
      <w:lvlJc w:val="left"/>
      <w:pPr>
        <w:ind w:left="1470"/>
      </w:pPr>
      <w:rPr>
        <w:rFonts w:hint="default" w:ascii="Wingdings" w:hAnsi="Wingdings"/>
      </w:rPr>
    </w:lvl>
    <w:lvl w:ilvl="8" w:tentative="0">
      <w:start w:val="1"/>
      <w:numFmt w:val="bullet"/>
      <w:suff w:val="nothing"/>
      <w:lvlText w:val=""/>
      <w:lvlJc w:val="left"/>
      <w:pPr>
        <w:ind w:left="1680"/>
      </w:pPr>
      <w:rPr>
        <w:rFonts w:hint="default" w:ascii="Wingdings" w:hAnsi="Wingdings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26F44"/>
    <w:rsid w:val="76BD62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uiPriority w:val="99"/>
    <w:rPr>
      <w:color w:val="0000FF" w:themeColor="hyperlink"/>
      <w:u w:val="single"/>
    </w:rPr>
  </w:style>
  <w:style w:type="character" w:customStyle="1" w:styleId="16">
    <w:name w:val="Header Char"/>
    <w:basedOn w:val="13"/>
    <w:link w:val="8"/>
    <w:uiPriority w:val="99"/>
  </w:style>
  <w:style w:type="character" w:customStyle="1" w:styleId="17">
    <w:name w:val="Heading 1 Char"/>
    <w:basedOn w:val="13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8">
    <w:name w:val="Heading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9">
    <w:name w:val="Heading 3 Char"/>
    <w:basedOn w:val="1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0">
    <w:name w:val="Heading 4 Char"/>
    <w:basedOn w:val="13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1">
    <w:name w:val="Subtitle Char"/>
    <w:basedOn w:val="13"/>
    <w:link w:val="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2">
    <w:name w:val="Title Char"/>
    <w:basedOn w:val="13"/>
    <w:link w:val="10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2069</Words>
  <Characters>2541</Characters>
  <TotalTime>0</TotalTime>
  <ScaleCrop>false</ScaleCrop>
  <LinksUpToDate>false</LinksUpToDate>
  <CharactersWithSpaces>2604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2026-02-08T05:11:42Z</dcterms:created>
  <dc:creator>lmmwg</dc:creator>
  <cp:lastModifiedBy>高书兵</cp:lastModifiedBy>
  <dcterms:modified xsi:type="dcterms:W3CDTF">2026-02-08T05:12:39Z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001191310115MA1H9U6C1800000","Label":"1","ReservedCode1":"f0d25a59631f7e5b561a27f7e2399cf4","ProduceID":"Metasota_docx_6914542cdb9e019199a417c5_1_ad2c81fb-119f-4d30-a812-fb8d81397813","ReservedCode2":"f0d25a59631f7e5b561a27f7e2399cf4","PropagateID":"Metasota_docx_6914542cdb9e019199a417c5_1_ad2c81fb-119f-4d30-a812-fb8d81397813","ContentProducer":"001191310115MA1H9U6C1800000"}</vt:lpwstr>
  </property>
  <property fmtid="{D5CDD505-2E9C-101B-9397-08002B2CF9AE}" pid="3" name="KSOProductBuildVer">
    <vt:lpwstr>2052-12.1.0.24657</vt:lpwstr>
  </property>
  <property fmtid="{D5CDD505-2E9C-101B-9397-08002B2CF9AE}" pid="4" name="ICV">
    <vt:lpwstr>F9E869B10484448A8BB4E3F2F0392BB9_13</vt:lpwstr>
  </property>
</Properties>
</file>