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chart show that the total expenditure on domestic travel in malaysia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between 2013-2018 and the table show that the domestic visitors' Expenditure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Malaysia.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chart show that the total expenditure on Domestic Travel in Malaysia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increasing year to year. In year 2018 is the highest total expenditure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domestic travel in malaysia which is RM92.6 million. Then, the table show that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most expenditure that domestic visitors's spend is at Shopping which is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RM19.8 million in 2013 and RM34.8 million at 2018. It is likely that domestic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visitors' like to expenditure in Shopping. Besides that, the table also show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that visitors' expenditure in Food and beverage is increasing from RM10.5 million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RM12.8 million this could due to domesitc visitors is like to expenditure 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because of malaysia food and beverage are good.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conclusion, the total expenditure on domestic travel in malaysia is increasing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also Shopping have the most domestic visitors' expenditure in Malaysia.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