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(2025-09-17T13:31:12.584295+00:00):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(2025-09-17T13:31:25.476955+00:00):</w:t>
      </w:r>
      <w:r>
        <w:br w:type="textWrapping"/>
      </w:r>
      <w:r>
        <w:rPr>
          <w:rFonts w:ascii="Arial" w:hAnsi="Arial" w:eastAsia="Arial" w:cs="Arial"/>
          <w:i w:val="false"/>
          <w:b w:val="false"/>
          <w:u w:val="none"/>
          <w:strike w:val="false"/>
          <w:sz w:val="20"/>
          <w:szCs w:val="20"/>
          <w:color w:val="000000"/>
        </w:rPr>
        <w:t xml:space="preserve">Hallo! Laten we samen aan de slag gaan met embryonale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die je aan het denken 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rechts naast de navel van de baby gezien. Later was deze opening groter, en een deel van de darmen lag buiten de buik in het vruchtwater. Uiteindelijk werd bij de geboorte een gastroschisis vastgesteldâeen buikwanddefect waarbij delen van maag en darmen buiten de buikholte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 Kun je dit in een paar zinnen uitleggen?</w:t>
      </w:r>
    </w:p>
    <w:p>
      <w:pPr>
        <w:pStyle w:val="Normal"/>
      </w:pPr>
      <w:r>
        <w:t xml:space="preserve"/>
      </w:r>
    </w:p>
    <w:p>
      <w:pPr>
        <w:pStyle w:val="Titre1"/>
      </w:pPr>
      <w:r>
        <w:t xml:space="preserve">nina.csv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