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(2025-09-30T16:47:55.065771+00:00):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(2025-09-30T16:48:12.557436+00:00):</w:t>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de normale bloedglucosewaarden te handhaven, vooral tijdens vasten. Als compensatie worden andere metabole routes geactiveerd. In GSD zijn deze alternatieve paden, zoals de Cori-cyclus, </w:t>
      </w:r>
      <w:r>
        <w:br w:type="textWrapping"/>
      </w:r>
      <w:r>
        <w:rPr>
          <w:rFonts w:ascii="Arial" w:hAnsi="Arial" w:eastAsia="Arial" w:cs="Arial"/>
          <w:i w:val="false"/>
          <w:b w:val="false"/>
          <w:u w:val="none"/>
          <w:strike w:val="false"/>
          <w:sz w:val="20"/>
          <w:szCs w:val="20"/>
          <w:color w:val="000000"/>
        </w:rPr>
        <w:t xml:space="preserve">Een meisje van 3 jaar heeft GSD en bezoekt haar arts omdat ze erg prikkelbaar is en haar buik opgezwollen oogt.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Melkzuur: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Titre1"/>
      </w:pPr>
      <w:r>
        <w:t xml:space="preserve">olijf.csv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