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(2025-09-29T16:05:23.438027+00:00):</w:t>
      </w:r>
      <w:r>
        <w:br w:type="textWrapping"/>
      </w:r>
      <w:r>
        <w:rPr>
          <w:rFonts w:ascii="Arial" w:hAnsi="Arial" w:eastAsia="Arial" w:cs="Arial"/>
          <w:i w:val="false"/>
          <w:b w:val="false"/>
          <w:u w:val="none"/>
          <w:strike w:val="false"/>
          <w:sz w:val="20"/>
          <w:szCs w:val="20"/>
          <w:color w:val="000000"/>
        </w:rPr>
        <w:t xml:space="preserve">let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(2025-09-29T16:05:43.435025+00:00):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lukt het het lichaam niet om normale bloedsuikerspiegels te behouden, vooral tijdens vasten. Om dit te compenseren, worden andere metabole routes geactiveerd. In GSD zijn alternatieve wegen, zoals de Cori-cyclus, echter ook verstoord.</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De lever is vergroot en uit bloedonderzoek blijkt: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(2025-09-29T16:07:57.690412+00:00):</w:t>
      </w:r>
      <w:r>
        <w:br w:type="textWrapping"/>
      </w:r>
      <w:r>
        <w:rPr>
          <w:rFonts w:ascii="Arial" w:hAnsi="Arial" w:eastAsia="Arial" w:cs="Arial"/>
          <w:i w:val="false"/>
          <w:b w:val="false"/>
          <w:u w:val="none"/>
          <w:strike w:val="false"/>
          <w:sz w:val="20"/>
          <w:szCs w:val="20"/>
          <w:color w:val="000000"/>
        </w:rPr>
        <w:t xml:space="preserve">Is vervalt in een hypo en haar lichaam gebruikt geen zuurstof in de het energiemetabolisme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(2025-09-29T16:08:08.647842+00:00):</w:t>
      </w:r>
      <w:r>
        <w:br w:type="textWrapping"/>
      </w:r>
      <w:r>
        <w:rPr>
          <w:rFonts w:ascii="Arial" w:hAnsi="Arial" w:eastAsia="Arial" w:cs="Arial"/>
          <w:i w:val="false"/>
          <w:b w:val="false"/>
          <w:u w:val="none"/>
          <w:strike w:val="false"/>
          <w:sz w:val="20"/>
          <w:szCs w:val="20"/>
          <w:color w:val="000000"/>
        </w:rPr>
        <w:t xml:space="preserve">Goede poging! Je benoemt dat zij in een hypoglykemie is geraakt en suggereert dat haar lichaam geen zuurstof gebruikt bij het energiemetabolisme. Voordat we verdergaan, laten we even een stapje terug doen en samen wat basiskennis ophalen over energiemetabolisme. Zo maken we het makkelijker om straks alle details van casus goed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of verwarring over de basisprocessen van energiemetabolisme tot nu toe? Of wil je uitleg over bijvoorbeeld glycolyse, glycogenolyse, of het verschil tussen aerobe en anaerobe processen?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handig om mee te beginnen: Weet je wat glycolyse precies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(2025-09-29T16:10:07.122344+00:00):</w:t>
      </w:r>
      <w:r>
        <w:br w:type="textWrapping"/>
      </w:r>
      <w:r>
        <w:rPr>
          <w:rFonts w:ascii="Arial" w:hAnsi="Arial" w:eastAsia="Arial" w:cs="Arial"/>
          <w:i w:val="false"/>
          <w:b w:val="false"/>
          <w:u w:val="none"/>
          <w:strike w:val="false"/>
          <w:sz w:val="20"/>
          <w:szCs w:val="20"/>
          <w:color w:val="000000"/>
        </w:rPr>
        <w:t xml:space="preserve">Glycolyse is de is afbraak van glucose naar pyruvat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(2025-09-29T16:10:16.082056+00:00):</w:t>
      </w:r>
      <w:r>
        <w:br w:type="textWrapping"/>
      </w:r>
      <w:r>
        <w:rPr>
          <w:rFonts w:ascii="Arial" w:hAnsi="Arial" w:eastAsia="Arial" w:cs="Arial"/>
          <w:i w:val="false"/>
          <w:b w:val="false"/>
          <w:u w:val="none"/>
          <w:strike w:val="false"/>
          <w:sz w:val="20"/>
          <w:szCs w:val="20"/>
          <w:color w:val="000000"/>
        </w:rPr>
        <w:t xml:space="preserve">Goed! Klopt helemaal — glycolyse is het proces waarbij glucose wordt omgezet in pyruvaat. Hierbij komt wat energie vrij in de vorm van ATP en worden er NADH-moleculen gevormd. Glycolyse vindt plaats in het cytoplasma van de cel en kan zowel met als zonder zuurstof plaatsvinden.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basisplaatje compleet te maken: wat gebeurt er met pyruvaat na de glycolyse als er wél voldoende zuurstof aanwezig is? En wat juist als er géén zuurstof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(2025-09-29T16:13:01.242967+00:00):</w:t>
      </w:r>
      <w:r>
        <w:br w:type="textWrapping"/>
      </w:r>
      <w:r>
        <w:rPr>
          <w:rFonts w:ascii="Arial" w:hAnsi="Arial" w:eastAsia="Arial" w:cs="Arial"/>
          <w:i w:val="false"/>
          <w:b w:val="false"/>
          <w:u w:val="none"/>
          <w:strike w:val="false"/>
          <w:sz w:val="20"/>
          <w:szCs w:val="20"/>
          <w:color w:val="000000"/>
        </w:rPr>
        <w:t xml:space="preserve">Ik weet dat als er genoeg zuurstof aanwezig dat pyruvaat voor de citroenzuurcyclus gebruikt wordt en als geen zuurstof beschikbar is dat dan lactaat wordt geproduceerd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(2025-09-29T16:13:13.813565+00:00):</w:t>
      </w:r>
      <w:r>
        <w:br w:type="textWrapping"/>
      </w:r>
      <w:r>
        <w:rPr>
          <w:rFonts w:ascii="Arial" w:hAnsi="Arial" w:eastAsia="Arial" w:cs="Arial"/>
          <w:i w:val="false"/>
          <w:b w:val="false"/>
          <w:u w:val="none"/>
          <w:strike w:val="false"/>
          <w:sz w:val="20"/>
          <w:szCs w:val="20"/>
          <w:color w:val="000000"/>
        </w:rPr>
        <w:t xml:space="preserve">Heel netjes uitgelegd! Je beschrijft inderdaad het onderscheid:  </w:t>
      </w:r>
      <w:r>
        <w:br w:type="textWrapping"/>
      </w:r>
      <w:r>
        <w:rPr>
          <w:rFonts w:ascii="Arial" w:hAnsi="Arial" w:eastAsia="Arial" w:cs="Arial"/>
          <w:i w:val="false"/>
          <w:b w:val="false"/>
          <w:u w:val="none"/>
          <w:strike w:val="false"/>
          <w:sz w:val="20"/>
          <w:szCs w:val="20"/>
          <w:color w:val="000000"/>
        </w:rPr>
        <w:t xml:space="preserve">- **Met zuurstof (aeroob):** Pyruvaat wordt omgezet in acetyl-CoA, dat de citroenzuurcyclus (ook wel Krebs- of TCA-cyclus) in de mitochondriën binnengaat.  </w:t>
      </w:r>
      <w:r>
        <w:br w:type="textWrapping"/>
      </w:r>
      <w:r>
        <w:rPr>
          <w:rFonts w:ascii="Arial" w:hAnsi="Arial" w:eastAsia="Arial" w:cs="Arial"/>
          <w:i w:val="false"/>
          <w:b w:val="false"/>
          <w:u w:val="none"/>
          <w:strike w:val="false"/>
          <w:sz w:val="20"/>
          <w:szCs w:val="20"/>
          <w:color w:val="000000"/>
        </w:rPr>
        <w:t xml:space="preserve">- **Zonder zuurstof (anaeroob):** Pyruvaat wordt omgezet in lactaat via lactaatdehydrogenase in het cytoplasma, waardoor NAD+ geregenereerd wordt zodat de glycolyse door kan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vervolgvraag om alle “brandstof-reserves” te herhalen:  </w:t>
      </w:r>
      <w:r>
        <w:br w:type="textWrapping"/>
      </w:r>
      <w:r>
        <w:rPr>
          <w:rFonts w:ascii="Arial" w:hAnsi="Arial" w:eastAsia="Arial" w:cs="Arial"/>
          <w:i w:val="false"/>
          <w:b w:val="false"/>
          <w:u w:val="none"/>
          <w:strike w:val="false"/>
          <w:sz w:val="20"/>
          <w:szCs w:val="20"/>
          <w:color w:val="000000"/>
        </w:rPr>
        <w:t xml:space="preserve">Kun je kort uitleggen hoe het lichaam aan glucose komt als het een tijdje niet gegeten heeft? Welke processen zorgen er dan voor de “nieuwe aanvoer” van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(2025-09-29T16:18:30.508714+00:00):</w:t>
      </w:r>
      <w:r>
        <w:br w:type="textWrapping"/>
      </w:r>
      <w:r>
        <w:rPr>
          <w:rFonts w:ascii="Arial" w:hAnsi="Arial" w:eastAsia="Arial" w:cs="Arial"/>
          <w:i w:val="false"/>
          <w:b w:val="false"/>
          <w:u w:val="none"/>
          <w:strike w:val="false"/>
          <w:sz w:val="20"/>
          <w:szCs w:val="20"/>
          <w:color w:val="000000"/>
        </w:rPr>
        <w:t xml:space="preserve">Dit proces het glycogenolyse en is de afbraak van glycogeen ketens die als energie reserve worden gebruikt. Deze zijn te vinden in de lever en de spieren. Het glycogeen wordt afgebroken of weer om gewandelt tot glucose-6-phosphat wat dan voor de glucolyse gebruikt wordt en omgewandelt wordt tot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(2025-09-29T16:18:42.027848+00:00):</w:t>
      </w:r>
      <w:r>
        <w:br w:type="textWrapping"/>
      </w:r>
      <w:r>
        <w:rPr>
          <w:rFonts w:ascii="Arial" w:hAnsi="Arial" w:eastAsia="Arial" w:cs="Arial"/>
          <w:i w:val="false"/>
          <w:b w:val="false"/>
          <w:u w:val="none"/>
          <w:strike w:val="false"/>
          <w:sz w:val="20"/>
          <w:szCs w:val="20"/>
          <w:color w:val="000000"/>
        </w:rPr>
        <w:t xml:space="preserve">Dat leg je duidelijk uit! Glycogenolyse is inderdaad de afbraak van glycogeen uit lever en spier, waardoor glucose-6-fosfaat ontstaat. De lever kan glucose-6-fosfaat omzetten in vrij glucose, wat dan aan het bloed wordt afgegeven voor het hele lichaam. De spieren houden hun glucose vooral voor zichzelf.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dat de glycogeenvoorraden uitgeput raken, of—zoals bij deze casus—de glycogenolyse niet goed werkt: weet je welke alternatieve metabole processen het lichaam dan inzet om tóch aan glucose te komen? Of hoe de energievoorziening dan verder wordt geregeld?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(2025-09-29T16:19:37.326+00:00):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This appears to be a medical tutoring session, likely aimed at helping a learner (user) understand the metabolic basis of glycogen storage diseases, using a clinical case vignette. The purpose of this feedback is to support the user's clinical reasoning, knowledge integration, and explanatory skills.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You showed willingness to answer follow-up questions and engaged throughout the session.</w:t>
      </w:r>
      <w:r>
        <w:br w:type="textWrapping"/>
      </w:r>
      <w:r>
        <w:rPr>
          <w:rFonts w:ascii="Arial" w:hAnsi="Arial" w:eastAsia="Arial" w:cs="Arial"/>
          <w:i w:val="false"/>
          <w:b w:val="false"/>
          <w:u w:val="none"/>
          <w:strike w:val="false"/>
          <w:sz w:val="20"/>
          <w:szCs w:val="20"/>
          <w:color w:val="000000"/>
        </w:rPr>
        <w:t xml:space="preserve">- You correctly described the core concept of glycolysis and distinguished between pyruvate pathways under aerobic and anaerobic conditions.</w:t>
      </w:r>
      <w:r>
        <w:br w:type="textWrapping"/>
      </w:r>
      <w:r>
        <w:rPr>
          <w:rFonts w:ascii="Arial" w:hAnsi="Arial" w:eastAsia="Arial" w:cs="Arial"/>
          <w:i w:val="false"/>
          <w:b w:val="false"/>
          <w:u w:val="none"/>
          <w:strike w:val="false"/>
          <w:sz w:val="20"/>
          <w:szCs w:val="20"/>
          <w:color w:val="000000"/>
        </w:rPr>
        <w:t xml:space="preserve">- You summarized the process of glycogenolysis, identified energy reserves (glycogen in liver and muscle), and explained the basic flow from glycogen to glycolysis.</w:t>
      </w:r>
      <w:r>
        <w:br w:type="textWrapping"/>
      </w:r>
      <w:r>
        <w:rPr>
          <w:rFonts w:ascii="Arial" w:hAnsi="Arial" w:eastAsia="Arial" w:cs="Arial"/>
          <w:i w:val="false"/>
          <w:b w:val="false"/>
          <w:u w:val="none"/>
          <w:strike w:val="false"/>
          <w:sz w:val="20"/>
          <w:szCs w:val="20"/>
          <w:color w:val="000000"/>
        </w:rPr>
        <w:t xml:space="preserve">- You accepted guidance and responded appropriately to redirection/reference questions from the assistant, displaying a positive learning attitude.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Some answers lacked clarity, including incomplete or imprecise phrasing (“Is vervalt in een hypo…”), possibly leading to misunderstandings.</w:t>
      </w:r>
      <w:r>
        <w:br w:type="textWrapping"/>
      </w:r>
      <w:r>
        <w:rPr>
          <w:rFonts w:ascii="Arial" w:hAnsi="Arial" w:eastAsia="Arial" w:cs="Arial"/>
          <w:i w:val="false"/>
          <w:b w:val="false"/>
          <w:u w:val="none"/>
          <w:strike w:val="false"/>
          <w:sz w:val="20"/>
          <w:szCs w:val="20"/>
          <w:color w:val="000000"/>
        </w:rPr>
        <w:t xml:space="preserve">- Clinical reasoning could be more developed; explanations sometimes stopped short of integrating biochemical knowledge into the clinical vignette.</w:t>
      </w:r>
      <w:r>
        <w:br w:type="textWrapping"/>
      </w:r>
      <w:r>
        <w:rPr>
          <w:rFonts w:ascii="Arial" w:hAnsi="Arial" w:eastAsia="Arial" w:cs="Arial"/>
          <w:i w:val="false"/>
          <w:b w:val="false"/>
          <w:u w:val="none"/>
          <w:strike w:val="false"/>
          <w:sz w:val="20"/>
          <w:szCs w:val="20"/>
          <w:color w:val="000000"/>
        </w:rPr>
        <w:t xml:space="preserve">- Occasional inaccuracies were present (e.g., suggesting the patient’s body “gebruikt geen zuurstof in de het energiemetabolisme” which is a misunderstanding of metabolic adaptation in GSD).</w:t>
      </w:r>
      <w:r>
        <w:br w:type="textWrapping"/>
      </w:r>
      <w:r>
        <w:rPr>
          <w:rFonts w:ascii="Arial" w:hAnsi="Arial" w:eastAsia="Arial" w:cs="Arial"/>
          <w:i w:val="false"/>
          <w:b w:val="false"/>
          <w:u w:val="none"/>
          <w:strike w:val="false"/>
          <w:sz w:val="20"/>
          <w:szCs w:val="20"/>
          <w:color w:val="000000"/>
        </w:rPr>
        <w:t xml:space="preserve">- Minor grammatical and typographical errors impacted the clarity and professionalism of your written responses.</w:t>
      </w:r>
      <w:r>
        <w:br w:type="textWrapping"/>
      </w:r>
      <w:r>
        <w:rPr>
          <w:rFonts w:ascii="Arial" w:hAnsi="Arial" w:eastAsia="Arial" w:cs="Arial"/>
          <w:i w:val="false"/>
          <w:b w:val="false"/>
          <w:u w:val="none"/>
          <w:strike w:val="false"/>
          <w:sz w:val="20"/>
          <w:szCs w:val="20"/>
          <w:color w:val="000000"/>
        </w:rPr>
        <w:t xml:space="preserve">- Your explanations focused mainly on descriptions without always addressing the underlying 'why'—for example, the significance of negative ketones in the case or fully linking lab findings to the pathophysiology.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Clarify and Complete Your Answers  </w:t>
      </w:r>
      <w:r>
        <w:br w:type="textWrapping"/>
      </w:r>
      <w:r>
        <w:rPr>
          <w:rFonts w:ascii="Arial" w:hAnsi="Arial" w:eastAsia="Arial" w:cs="Arial"/>
          <w:i w:val="false"/>
          <w:b w:val="false"/>
          <w:u w:val="none"/>
          <w:strike w:val="false"/>
          <w:sz w:val="20"/>
          <w:szCs w:val="20"/>
          <w:color w:val="000000"/>
        </w:rPr>
        <w:t xml:space="preserve">   • *Why it matters*: Clear, fully articulated answers avoid miscommunication and demonstrate understanding.  </w:t>
      </w:r>
      <w:r>
        <w:br w:type="textWrapping"/>
      </w:r>
      <w:r>
        <w:rPr>
          <w:rFonts w:ascii="Arial" w:hAnsi="Arial" w:eastAsia="Arial" w:cs="Arial"/>
          <w:i w:val="false"/>
          <w:b w:val="false"/>
          <w:u w:val="none"/>
          <w:strike w:val="false"/>
          <w:sz w:val="20"/>
          <w:szCs w:val="20"/>
          <w:color w:val="000000"/>
        </w:rPr>
        <w:t xml:space="preserve">   • *How to implement*: Before submitting, reread your response to check for incomplete sentences or ambiguous statements, and elaborate briefly if necessary (e.g., clarifying the specifics of a “hypo” or hypoglycemia).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Deepen Clinical-Pathophysiologic Integration  </w:t>
      </w:r>
      <w:r>
        <w:br w:type="textWrapping"/>
      </w:r>
      <w:r>
        <w:rPr>
          <w:rFonts w:ascii="Arial" w:hAnsi="Arial" w:eastAsia="Arial" w:cs="Arial"/>
          <w:i w:val="false"/>
          <w:b w:val="false"/>
          <w:u w:val="none"/>
          <w:strike w:val="false"/>
          <w:sz w:val="20"/>
          <w:szCs w:val="20"/>
          <w:color w:val="000000"/>
        </w:rPr>
        <w:t xml:space="preserve">   • *Why it matters*: Connecting basic science to clinical data deepens understanding and improves diagnostic reasoning.  </w:t>
      </w:r>
      <w:r>
        <w:br w:type="textWrapping"/>
      </w:r>
      <w:r>
        <w:rPr>
          <w:rFonts w:ascii="Arial" w:hAnsi="Arial" w:eastAsia="Arial" w:cs="Arial"/>
          <w:i w:val="false"/>
          <w:b w:val="false"/>
          <w:u w:val="none"/>
          <w:strike w:val="false"/>
          <w:sz w:val="20"/>
          <w:szCs w:val="20"/>
          <w:color w:val="000000"/>
        </w:rPr>
        <w:t xml:space="preserve">   • *How to implement*: When faced with a vignette, explicitly relate lab results and clinical features back to the underlying defect (e.g., explain *why* hypoglycemia and elevated lactate appear together in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Address Minor Errors  </w:t>
      </w:r>
      <w:r>
        <w:br w:type="textWrapping"/>
      </w:r>
      <w:r>
        <w:rPr>
          <w:rFonts w:ascii="Arial" w:hAnsi="Arial" w:eastAsia="Arial" w:cs="Arial"/>
          <w:i w:val="false"/>
          <w:b w:val="false"/>
          <w:u w:val="none"/>
          <w:strike w:val="false"/>
          <w:sz w:val="20"/>
          <w:szCs w:val="20"/>
          <w:color w:val="000000"/>
        </w:rPr>
        <w:t xml:space="preserve">   • *Why it matters*: Correct language use increases clarity and maintains professionalism, particularly in medical contexts.  </w:t>
      </w:r>
      <w:r>
        <w:br w:type="textWrapping"/>
      </w:r>
      <w:r>
        <w:rPr>
          <w:rFonts w:ascii="Arial" w:hAnsi="Arial" w:eastAsia="Arial" w:cs="Arial"/>
          <w:i w:val="false"/>
          <w:b w:val="false"/>
          <w:u w:val="none"/>
          <w:strike w:val="false"/>
          <w:sz w:val="20"/>
          <w:szCs w:val="20"/>
          <w:color w:val="000000"/>
        </w:rPr>
        <w:t xml:space="preserve">   • *How to implement*: Take a moment to proofread for grammar/spelling, and use terminology as precisely as possible—if unsure, check definitions or ask for clarification.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Reflect on Alternative Pathways and Consequences  </w:t>
      </w:r>
      <w:r>
        <w:br w:type="textWrapping"/>
      </w:r>
      <w:r>
        <w:rPr>
          <w:rFonts w:ascii="Arial" w:hAnsi="Arial" w:eastAsia="Arial" w:cs="Arial"/>
          <w:i w:val="false"/>
          <w:b w:val="false"/>
          <w:u w:val="none"/>
          <w:strike w:val="false"/>
          <w:sz w:val="20"/>
          <w:szCs w:val="20"/>
          <w:color w:val="000000"/>
        </w:rPr>
        <w:t xml:space="preserve">   • *Why it matters*: Higher-order thinking is demonstrated by considering compensatory mechanisms and their clinical manifestations.  </w:t>
      </w:r>
      <w:r>
        <w:br w:type="textWrapping"/>
      </w:r>
      <w:r>
        <w:rPr>
          <w:rFonts w:ascii="Arial" w:hAnsi="Arial" w:eastAsia="Arial" w:cs="Arial"/>
          <w:i w:val="false"/>
          <w:b w:val="false"/>
          <w:u w:val="none"/>
          <w:strike w:val="false"/>
          <w:sz w:val="20"/>
          <w:szCs w:val="20"/>
          <w:color w:val="000000"/>
        </w:rPr>
        <w:t xml:space="preserve">   • *How to implement*: When a process fails (like glycogenolysis), enumerate the backup pathways (e.g., gluconeogenesis, fatty acid oxidation)—even if you are uncertain, note hypotheses and ask questions to confirm.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conversation, focus on articulating clear, stepwise explanations that link specific metabolic defects to clinical features, and practice integrating laboratory findings with pathophysiological reasoning. Aim to articulate both what happens and why, explicitly connecting mechanism to patient presentation.</w:t>
      </w:r>
    </w:p>
    <w:p>
      <w:pPr>
        <w:pStyle w:val="Normal"/>
      </w:pPr>
      <w:r>
        <w:t xml:space="preserve"/>
      </w:r>
    </w:p>
    <w:p>
      <w:pPr>
        <w:pStyle w:val="Titre1"/>
      </w:pPr>
      <w:r>
        <w:t xml:space="preserve">peter.csv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