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(2025-11-05T17:02:39.084295+00:00):</w:t>
      </w:r>
      <w:r>
        <w:br w:type="textWrapping"/>
      </w:r>
      <w:r>
        <w:rPr>
          <w:rFonts w:ascii="Arial" w:hAnsi="Arial" w:eastAsia="Arial" w:cs="Arial"/>
          <w:i w:val="false"/>
          <w:b w:val="false"/>
          <w:u w:val="none"/>
          <w:strike w:val="false"/>
          <w:sz w:val="20"/>
          <w:szCs w:val="20"/>
          <w:color w:val="000000"/>
        </w:rPr>
        <w:t xml:space="preserve">wat is gasuitwisseling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(2025-11-05T17:02:54.641333+00:00):</w:t>
      </w:r>
      <w:r>
        <w:br w:type="textWrapping"/>
      </w:r>
      <w:r>
        <w:rPr>
          <w:rFonts w:ascii="Arial" w:hAnsi="Arial" w:eastAsia="Arial" w:cs="Arial"/>
          <w:i w:val="false"/>
          <w:b w:val="false"/>
          <w:u w:val="none"/>
          <w:strike w:val="false"/>
          <w:sz w:val="20"/>
          <w:szCs w:val="20"/>
          <w:color w:val="000000"/>
        </w:rPr>
        <w:t xml:space="preserve">Welkom! In deze activiteit ga je samen met een virtuele tutor onderzoeken hoe bloed en gasuitwisseling werken aan de hand van belangrijke fysiologische principes. Je wordt stap voor stap begeleid om je eigen verhaal te bouwen waarmee je verklaart wat er gebeurt en waarom in een klinische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Zelf je uitleg geven helpt om verbanden te leggen, informatie beter te onthouden en deze kennis uiteindelijk toe te passen bij echte patiënten. Op deze manier vergroot je je begrip en train je klinisch redeneren – precies zoals artsen onderling doen.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Deze activiteit bestaat uit drie fasen om je te ondersteunen bij het leren:</w:t>
      </w:r>
      <w:r>
        <w:br w:type="textWrapping"/>
      </w:r>
      <w:r>
        <w:rPr>
          <w:rFonts w:ascii="Arial" w:hAnsi="Arial" w:eastAsia="Arial" w:cs="Arial"/>
          <w:i w:val="false"/>
          <w:b w:val="false"/>
          <w:u w:val="none"/>
          <w:strike w:val="false"/>
          <w:sz w:val="20"/>
          <w:szCs w:val="20"/>
          <w:color w:val="000000"/>
        </w:rPr>
        <w:t xml:space="preserve">Fase 1 – Kennis activeren: kort terughalen wat je al weet over bloed en gasuitwisseling.</w:t>
      </w:r>
      <w:r>
        <w:br w:type="textWrapping"/>
      </w:r>
      <w:r>
        <w:rPr>
          <w:rFonts w:ascii="Arial" w:hAnsi="Arial" w:eastAsia="Arial" w:cs="Arial"/>
          <w:i w:val="false"/>
          <w:b w:val="false"/>
          <w:u w:val="none"/>
          <w:strike w:val="false"/>
          <w:sz w:val="20"/>
          <w:szCs w:val="20"/>
          <w:color w:val="000000"/>
        </w:rPr>
        <w:t xml:space="preserve">Fase 2 – Narratief construeren: die kennis toepassen op een concreet scenario.</w:t>
      </w:r>
      <w:r>
        <w:br w:type="textWrapping"/>
      </w:r>
      <w:r>
        <w:rPr>
          <w:rFonts w:ascii="Arial" w:hAnsi="Arial" w:eastAsia="Arial" w:cs="Arial"/>
          <w:i w:val="false"/>
          <w:b w:val="false"/>
          <w:u w:val="none"/>
          <w:strike w:val="false"/>
          <w:sz w:val="20"/>
          <w:szCs w:val="20"/>
          <w:color w:val="000000"/>
        </w:rPr>
        <w:t xml:space="preserve">Fase 3 – Redenering overdragen: je begrip inzetten op een nieuw (vergelijkbaar) geval.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Klaar om te beginnen?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Knowledge activation started! Let’s recall how gas exchange works step by step!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(2025-11-05T17:02:58.151182+00:00):</w:t>
      </w:r>
      <w:r>
        <w:br w:type="textWrapping"/>
      </w:r>
      <w:r>
        <w:rPr>
          <w:rFonts w:ascii="Arial" w:hAnsi="Arial" w:eastAsia="Arial" w:cs="Arial"/>
          <w:i w:val="false"/>
          <w:b w:val="false"/>
          <w:u w:val="none"/>
          <w:strike w:val="false"/>
          <w:sz w:val="20"/>
          <w:szCs w:val="20"/>
          <w:color w:val="000000"/>
        </w:rPr>
        <w:t xml:space="preserve">ja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(2025-11-05T17:03:20.355764+00:00):</w:t>
      </w:r>
      <w:r>
        <w:br w:type="textWrapping"/>
      </w:r>
      <w:r>
        <w:rPr>
          <w:rFonts w:ascii="Arial" w:hAnsi="Arial" w:eastAsia="Arial" w:cs="Arial"/>
          <w:i w:val="false"/>
          <w:b w:val="false"/>
          <w:u w:val="none"/>
          <w:strike w:val="false"/>
          <w:sz w:val="20"/>
          <w:szCs w:val="20"/>
          <w:color w:val="000000"/>
        </w:rPr>
        <w:t xml:space="preserve">Hier is de eerste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65-jarige vrouw wordt opgenomen in het ziekenhuis met toenemende kortademigheid sinds drie maanden. De laatste dagen zijn haar klachten erger geworden. Zelfs kleine huishoudelijke klusjes en lopen kosten veel moeite en ze moet regelmatig pauzeren om op adem te komen. Ze heeft ook meer last van haar gebruikelijke hoest en koorts.</w:t>
      </w:r>
      <w:r>
        <w:br w:type="textWrapping"/>
      </w:r>
      <w:r>
        <w:rPr>
          <w:rFonts w:ascii="Arial" w:hAnsi="Arial" w:eastAsia="Arial" w:cs="Arial"/>
          <w:i w:val="false"/>
          <w:b w:val="false"/>
          <w:u w:val="none"/>
          <w:strike w:val="false"/>
          <w:sz w:val="20"/>
          <w:szCs w:val="20"/>
          <w:color w:val="000000"/>
        </w:rPr>
        <w:t xml:space="preserve">Ze kreeg vijf jaar geleden de diagnose COPD. Bij COPD leidt chronische ontsteking tot beschadiging van de alveolaire wanden en verdikking van de alveolair-capillaire membraan.</w:t>
      </w:r>
      <w:r>
        <w:br w:type="textWrapping"/>
      </w:r>
      <w:r>
        <w:rPr>
          <w:rFonts w:ascii="Arial" w:hAnsi="Arial" w:eastAsia="Arial" w:cs="Arial"/>
          <w:i w:val="false"/>
          <w:b w:val="false"/>
          <w:u w:val="none"/>
          <w:strike w:val="false"/>
          <w:sz w:val="20"/>
          <w:szCs w:val="20"/>
          <w:color w:val="000000"/>
        </w:rPr>
        <w:t xml:space="preserve">Laboratoriumonderzoek laat zien:</w:t>
      </w:r>
      <w:r>
        <w:br w:type="textWrapping"/>
      </w:r>
      <w:r>
        <w:rPr>
          <w:rFonts w:ascii="Arial" w:hAnsi="Arial" w:eastAsia="Arial" w:cs="Arial"/>
          <w:i w:val="false"/>
          <w:b w:val="false"/>
          <w:u w:val="none"/>
          <w:strike w:val="false"/>
          <w:sz w:val="20"/>
          <w:szCs w:val="20"/>
          <w:color w:val="000000"/>
        </w:rPr>
        <w:t xml:space="preserve">- Hemoglobine: 10,0 g/dL (Referentie: 12–16 g/dL)</w:t>
      </w:r>
      <w:r>
        <w:br w:type="textWrapping"/>
      </w:r>
      <w:r>
        <w:rPr>
          <w:rFonts w:ascii="Arial" w:hAnsi="Arial" w:eastAsia="Arial" w:cs="Arial"/>
          <w:i w:val="false"/>
          <w:b w:val="false"/>
          <w:u w:val="none"/>
          <w:strike w:val="false"/>
          <w:sz w:val="20"/>
          <w:szCs w:val="20"/>
          <w:color w:val="000000"/>
        </w:rPr>
        <w:t xml:space="preserve">- Bloedgas:</w:t>
      </w:r>
      <w:r>
        <w:br w:type="textWrapping"/>
      </w:r>
      <w:r>
        <w:rPr>
          <w:rFonts w:ascii="Arial" w:hAnsi="Arial" w:eastAsia="Arial" w:cs="Arial"/>
          <w:i w:val="false"/>
          <w:b w:val="false"/>
          <w:u w:val="none"/>
          <w:strike w:val="false"/>
          <w:sz w:val="20"/>
          <w:szCs w:val="20"/>
          <w:color w:val="000000"/>
        </w:rPr>
        <w:t xml:space="preserve">  1. pH: 7,30 (Referentie: 7,35–7,45) → acidose</w:t>
      </w:r>
      <w:r>
        <w:br w:type="textWrapping"/>
      </w:r>
      <w:r>
        <w:rPr>
          <w:rFonts w:ascii="Arial" w:hAnsi="Arial" w:eastAsia="Arial" w:cs="Arial"/>
          <w:i w:val="false"/>
          <w:b w:val="false"/>
          <w:u w:val="none"/>
          <w:strike w:val="false"/>
          <w:sz w:val="20"/>
          <w:szCs w:val="20"/>
          <w:color w:val="000000"/>
        </w:rPr>
        <w:t xml:space="preserve">  2. Zuurstofspanning (PaO₂): 65 mmHg (Referentie: 80–100 mmHg)</w:t>
      </w:r>
      <w:r>
        <w:br w:type="textWrapping"/>
      </w:r>
      <w:r>
        <w:rPr>
          <w:rFonts w:ascii="Arial" w:hAnsi="Arial" w:eastAsia="Arial" w:cs="Arial"/>
          <w:i w:val="false"/>
          <w:b w:val="false"/>
          <w:u w:val="none"/>
          <w:strike w:val="false"/>
          <w:sz w:val="20"/>
          <w:szCs w:val="20"/>
          <w:color w:val="000000"/>
        </w:rPr>
        <w:t xml:space="preserve">  3. Koolstofdioxidespanning (PaCO₂): 51 mmHg (Referentie: 35–45 mmHg)</w:t>
      </w:r>
      <w:r>
        <w:br w:type="textWrapping"/>
      </w:r>
      <w:r>
        <w:rPr>
          <w:rFonts w:ascii="Arial" w:hAnsi="Arial" w:eastAsia="Arial" w:cs="Arial"/>
          <w:i w:val="false"/>
          <w:b w:val="false"/>
          <w:u w:val="none"/>
          <w:strike w:val="false"/>
          <w:sz w:val="20"/>
          <w:szCs w:val="20"/>
          <w:color w:val="000000"/>
        </w:rPr>
        <w:t xml:space="preserve">  4. Zuurstofsaturatie hemoglobine (SaO₂): 89% (Referentie: 95–100%)</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waarom deze patiënt kortademig is en waarom de laboratoriumuitslagen zo zijn?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w:r>
    </w:p>
    <w:p>
      <w:pPr>
        <w:pStyle w:val="Normal"/>
      </w:pPr>
      <w:r>
        <w:t xml:space="preserve"/>
      </w:r>
    </w:p>
    <w:p>
      <w:pPr>
        <w:pStyle w:val="Titre1"/>
      </w:pPr>
      <w:r>
        <w:t xml:space="preserve">vera.csv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2025-11-10T08:32:30Z</dcterms:modified>
  <cp:category/>
</cp:coreProperties>
</file>