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2.png" ContentType="image/png"/>
  <Override PartName="/word/media/rId35.png" ContentType="image/png"/>
  <Override PartName="/word/media/rId36.png" ContentType="image/png"/>
  <Override PartName="/word/media/rId2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BBWM</w:t>
      </w:r>
      <w:r>
        <w:t xml:space="preserve"> </w:t>
      </w:r>
      <w:r>
        <w:t xml:space="preserve">initial</w:t>
      </w:r>
      <w:r>
        <w:t xml:space="preserve"> </w:t>
      </w:r>
      <w:r>
        <w:t xml:space="preserve">recovery</w:t>
      </w:r>
    </w:p>
    <w:p>
      <w:pPr>
        <w:pStyle w:val="Author"/>
      </w:pPr>
      <w:r>
        <w:t xml:space="preserve">Kaizad</w:t>
      </w:r>
      <w:r>
        <w:t xml:space="preserve"> </w:t>
      </w:r>
      <w:r>
        <w:t xml:space="preserve">Patel</w:t>
      </w:r>
    </w:p>
    <w:p>
      <w:pPr>
        <w:pStyle w:val="FirstParagraph"/>
      </w:pPr>
      <w:r>
        <w:t xml:space="preserve">2019-11-19</w:t>
      </w:r>
    </w:p>
    <w:p>
      <w:pPr>
        <w:pStyle w:val="Heading2"/>
      </w:pPr>
      <w:bookmarkStart w:id="20" w:name="nitrate"/>
      <w:r>
        <w:t xml:space="preserve">nitrate</w:t>
      </w:r>
      <w:bookmarkEnd w:id="20"/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nitrat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2" w:name="sulfate"/>
      <w:r>
        <w:t xml:space="preserve">sulfate</w:t>
      </w:r>
      <w:bookmarkEnd w:id="22"/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4" w:name="doc"/>
      <w:r>
        <w:t xml:space="preserve">DOC</w:t>
      </w:r>
      <w:bookmarkEnd w:id="24"/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6" w:name="anc"/>
      <w:r>
        <w:t xml:space="preserve">ANC</w:t>
      </w:r>
      <w:bookmarkEnd w:id="26"/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8" w:name="ph"/>
      <w:r>
        <w:t xml:space="preserve">pH</w:t>
      </w:r>
      <w:bookmarkEnd w:id="28"/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0" w:name="summary-table-fluxes"/>
      <w:r>
        <w:t xml:space="preserve">summary table – fluxes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species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Watershed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pre-treatment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first decade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second decade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third decade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NO3</w:t>
            </w:r>
          </w:p>
        </w:tc>
        <w:tc>
          <w:p>
            <w:pPr>
              <w:pStyle w:val="Compact"/>
              <w:jc w:val="right"/>
            </w:pPr>
            <w:r>
              <w:t xml:space="preserve">EB</w:t>
            </w:r>
          </w:p>
        </w:tc>
        <w:tc>
          <w:p>
            <w:pPr>
              <w:pStyle w:val="Compact"/>
              <w:jc w:val="right"/>
            </w:pPr>
            <w:r>
              <w:t xml:space="preserve">182.8 ± NA</w:t>
            </w:r>
          </w:p>
        </w:tc>
        <w:tc>
          <w:p>
            <w:pPr>
              <w:pStyle w:val="Compact"/>
              <w:jc w:val="right"/>
            </w:pPr>
            <w:r>
              <w:t xml:space="preserve">43.38 ± 14.61</w:t>
            </w:r>
          </w:p>
        </w:tc>
        <w:tc>
          <w:p>
            <w:pPr>
              <w:pStyle w:val="Compact"/>
              <w:jc w:val="right"/>
            </w:pPr>
            <w:r>
              <w:t xml:space="preserve">8.04 ± 1.76</w:t>
            </w:r>
          </w:p>
        </w:tc>
        <w:tc>
          <w:p>
            <w:pPr>
              <w:pStyle w:val="Compact"/>
              <w:jc w:val="right"/>
            </w:pPr>
            <w:r>
              <w:t xml:space="preserve">4.89 ± 1.6</w:t>
            </w:r>
          </w:p>
        </w:tc>
        <w:tc>
          <w:p>
            <w:pPr>
              <w:pStyle w:val="Compact"/>
              <w:jc w:val="right"/>
            </w:pPr>
            <w:r>
              <w:t xml:space="preserve">2.85 ± 0.95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NO3</w:t>
            </w:r>
          </w:p>
        </w:tc>
        <w:tc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p>
            <w:pPr>
              <w:pStyle w:val="Compact"/>
              <w:jc w:val="right"/>
            </w:pPr>
            <w:r>
              <w:t xml:space="preserve">216 ± NA</w:t>
            </w:r>
          </w:p>
        </w:tc>
        <w:tc>
          <w:p>
            <w:pPr>
              <w:pStyle w:val="Compact"/>
              <w:jc w:val="right"/>
            </w:pPr>
            <w:r>
              <w:t xml:space="preserve">423.6 ± 41.96</w:t>
            </w:r>
          </w:p>
        </w:tc>
        <w:tc>
          <w:p>
            <w:pPr>
              <w:pStyle w:val="Compact"/>
              <w:jc w:val="right"/>
            </w:pPr>
            <w:r>
              <w:t xml:space="preserve">345.7 ± 50.03</w:t>
            </w:r>
          </w:p>
        </w:tc>
        <w:tc>
          <w:p>
            <w:pPr>
              <w:pStyle w:val="Compact"/>
              <w:jc w:val="right"/>
            </w:pPr>
            <w:r>
              <w:t xml:space="preserve">420.43 ± 30.24</w:t>
            </w:r>
          </w:p>
        </w:tc>
        <w:tc>
          <w:p>
            <w:pPr>
              <w:pStyle w:val="Compact"/>
              <w:jc w:val="right"/>
            </w:pPr>
            <w:r>
              <w:t xml:space="preserve">59.5 ± 33.5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SO4</w:t>
            </w:r>
          </w:p>
        </w:tc>
        <w:tc>
          <w:p>
            <w:pPr>
              <w:pStyle w:val="Compact"/>
              <w:jc w:val="right"/>
            </w:pPr>
            <w:r>
              <w:t xml:space="preserve">EB</w:t>
            </w:r>
          </w:p>
        </w:tc>
        <w:tc>
          <w:p>
            <w:pPr>
              <w:pStyle w:val="Compact"/>
              <w:jc w:val="right"/>
            </w:pPr>
            <w:r>
              <w:t xml:space="preserve">1014 ± NA</w:t>
            </w:r>
          </w:p>
        </w:tc>
        <w:tc>
          <w:p>
            <w:pPr>
              <w:pStyle w:val="Compact"/>
              <w:jc w:val="right"/>
            </w:pPr>
            <w:r>
              <w:t xml:space="preserve">870.7 ± 51.51</w:t>
            </w:r>
          </w:p>
        </w:tc>
        <w:tc>
          <w:p>
            <w:pPr>
              <w:pStyle w:val="Compact"/>
              <w:jc w:val="right"/>
            </w:pPr>
            <w:r>
              <w:t xml:space="preserve">807.8 ± 58.6</w:t>
            </w:r>
          </w:p>
        </w:tc>
        <w:tc>
          <w:p>
            <w:pPr>
              <w:pStyle w:val="Compact"/>
              <w:jc w:val="right"/>
            </w:pPr>
            <w:r>
              <w:t xml:space="preserve">642.14 ± 57.05</w:t>
            </w:r>
          </w:p>
        </w:tc>
        <w:tc>
          <w:p>
            <w:pPr>
              <w:pStyle w:val="Compact"/>
              <w:jc w:val="right"/>
            </w:pPr>
            <w:r>
              <w:t xml:space="preserve">553.5 ± 15.5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SO4</w:t>
            </w:r>
          </w:p>
        </w:tc>
        <w:tc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p>
            <w:pPr>
              <w:pStyle w:val="Compact"/>
              <w:jc w:val="right"/>
            </w:pPr>
            <w:r>
              <w:t xml:space="preserve">1177 ± NA</w:t>
            </w:r>
          </w:p>
        </w:tc>
        <w:tc>
          <w:p>
            <w:pPr>
              <w:pStyle w:val="Compact"/>
              <w:jc w:val="right"/>
            </w:pPr>
            <w:r>
              <w:t xml:space="preserve">1655.9 ± 134.09</w:t>
            </w:r>
          </w:p>
        </w:tc>
        <w:tc>
          <w:p>
            <w:pPr>
              <w:pStyle w:val="Compact"/>
              <w:jc w:val="right"/>
            </w:pPr>
            <w:r>
              <w:t xml:space="preserve">1801.7 ± 143.94</w:t>
            </w:r>
          </w:p>
        </w:tc>
        <w:tc>
          <w:p>
            <w:pPr>
              <w:pStyle w:val="Compact"/>
              <w:jc w:val="right"/>
            </w:pPr>
            <w:r>
              <w:t xml:space="preserve">1620.14 ± 118.98</w:t>
            </w:r>
          </w:p>
        </w:tc>
        <w:tc>
          <w:p>
            <w:pPr>
              <w:pStyle w:val="Compact"/>
              <w:jc w:val="right"/>
            </w:pPr>
            <w:r>
              <w:t xml:space="preserve">1472.5 ± 125.5</w:t>
            </w:r>
          </w:p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concentrations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concentrations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3" w:name="fluxes"/>
      <w:r>
        <w:t xml:space="preserve">fluxes</w:t>
      </w:r>
      <w:bookmarkEnd w:id="33"/>
    </w:p>
    <w:p>
      <w:pPr>
        <w:pStyle w:val="Heading3"/>
      </w:pPr>
      <w:bookmarkStart w:id="34" w:name="nitrate-1"/>
      <w:r>
        <w:t xml:space="preserve">nitrate</w:t>
      </w:r>
      <w:bookmarkEnd w:id="34"/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fluxes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fluxes2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BBWM initial recovery</dc:title>
  <dc:creator>Kaizad Patel</dc:creator>
  <cp:keywords/>
  <dcterms:created xsi:type="dcterms:W3CDTF">2019-11-19T23:11:48Z</dcterms:created>
  <dcterms:modified xsi:type="dcterms:W3CDTF">2019-11-19T23:11:48Z</dcterms:modified>
</cp:coreProperties>
</file>