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  <Override PartName="/word/media/rId35.png" ContentType="image/png"/>
  <Override PartName="/word/media/rId36.png" ContentType="image/png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8.png" ContentType="image/png"/>
  <Override PartName="/word/media/rId39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BBWM</w:t>
      </w:r>
      <w:r>
        <w:t xml:space="preserve"> </w:t>
      </w:r>
      <w:r>
        <w:t xml:space="preserve">initial</w:t>
      </w:r>
      <w:r>
        <w:t xml:space="preserve"> </w:t>
      </w:r>
      <w:r>
        <w:t xml:space="preserve">recovery</w:t>
      </w:r>
    </w:p>
    <w:p>
      <w:pPr>
        <w:pStyle w:val="Author"/>
      </w:pPr>
      <w:r>
        <w:t xml:space="preserve">Kaizad</w:t>
      </w:r>
      <w:r>
        <w:t xml:space="preserve"> </w:t>
      </w:r>
      <w:r>
        <w:t xml:space="preserve">Patel</w:t>
      </w:r>
    </w:p>
    <w:p>
      <w:pPr>
        <w:pStyle w:val="FirstParagraph"/>
      </w:pPr>
      <w:r>
        <w:t xml:space="preserve">2019-12-20</w:t>
      </w:r>
    </w:p>
    <w:p>
      <w:pPr>
        <w:pStyle w:val="Heading2"/>
      </w:pPr>
      <w:bookmarkStart w:id="20" w:name="nitrate"/>
      <w:r>
        <w:t xml:space="preserve">nitrate</w:t>
      </w:r>
      <w:bookmarkEnd w:id="20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nitrate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2" w:name="sulfate"/>
      <w:r>
        <w:t xml:space="preserve">sulfate</w:t>
      </w:r>
      <w:bookmarkEnd w:id="22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4" w:name="doc"/>
      <w:r>
        <w:t xml:space="preserve">DOC</w:t>
      </w:r>
      <w:bookmarkEnd w:id="24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6" w:name="anc"/>
      <w:r>
        <w:t xml:space="preserve">ANC</w:t>
      </w:r>
      <w:bookmarkEnd w:id="26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8" w:name="ph"/>
      <w:r>
        <w:t xml:space="preserve">pH</w:t>
      </w:r>
      <w:bookmarkEnd w:id="28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30" w:name="summary-table-fluxes"/>
      <w:r>
        <w:t xml:space="preserve">summary table – fluxes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species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Watershed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pre-treatment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first decade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second decade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third decade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recovery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NO3_N</w:t>
            </w:r>
          </w:p>
        </w:tc>
        <w:tc>
          <w:p>
            <w:pPr>
              <w:pStyle w:val="Compact"/>
              <w:jc w:val="right"/>
            </w:pPr>
            <w:r>
              <w:t xml:space="preserve">EB</w:t>
            </w:r>
          </w:p>
        </w:tc>
        <w:tc>
          <w:p>
            <w:pPr>
              <w:pStyle w:val="Compact"/>
              <w:jc w:val="right"/>
            </w:pPr>
            <w:r>
              <w:t xml:space="preserve">2.56 ± NA</w:t>
            </w:r>
          </w:p>
        </w:tc>
        <w:tc>
          <w:p>
            <w:pPr>
              <w:pStyle w:val="Compact"/>
              <w:jc w:val="right"/>
            </w:pPr>
            <w:r>
              <w:t xml:space="preserve">0.61 ± 0.2</w:t>
            </w:r>
          </w:p>
        </w:tc>
        <w:tc>
          <w:p>
            <w:pPr>
              <w:pStyle w:val="Compact"/>
              <w:jc w:val="right"/>
            </w:pPr>
            <w:r>
              <w:t xml:space="preserve">0.11 ± 0.02</w:t>
            </w:r>
          </w:p>
        </w:tc>
        <w:tc>
          <w:p>
            <w:pPr>
              <w:pStyle w:val="Compact"/>
              <w:jc w:val="right"/>
            </w:pPr>
            <w:r>
              <w:t xml:space="preserve">0.07 ± 0.02</w:t>
            </w:r>
          </w:p>
        </w:tc>
        <w:tc>
          <w:p>
            <w:pPr>
              <w:pStyle w:val="Compact"/>
              <w:jc w:val="right"/>
            </w:pPr>
            <w:r>
              <w:t xml:space="preserve">0.04 ± 0.01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NO3_N</w:t>
            </w:r>
          </w:p>
        </w:tc>
        <w:tc>
          <w:p>
            <w:pPr>
              <w:pStyle w:val="Compact"/>
              <w:jc w:val="right"/>
            </w:pPr>
            <w:r>
              <w:t xml:space="preserve">WB</w:t>
            </w:r>
          </w:p>
        </w:tc>
        <w:tc>
          <w:p>
            <w:pPr>
              <w:pStyle w:val="Compact"/>
              <w:jc w:val="right"/>
            </w:pPr>
            <w:r>
              <w:t xml:space="preserve">3.02 ± NA</w:t>
            </w:r>
          </w:p>
        </w:tc>
        <w:tc>
          <w:p>
            <w:pPr>
              <w:pStyle w:val="Compact"/>
              <w:jc w:val="right"/>
            </w:pPr>
            <w:r>
              <w:t xml:space="preserve">5.93 ± 0.59</w:t>
            </w:r>
          </w:p>
        </w:tc>
        <w:tc>
          <w:p>
            <w:pPr>
              <w:pStyle w:val="Compact"/>
              <w:jc w:val="right"/>
            </w:pPr>
            <w:r>
              <w:t xml:space="preserve">4.84 ± 0.7</w:t>
            </w:r>
          </w:p>
        </w:tc>
        <w:tc>
          <w:p>
            <w:pPr>
              <w:pStyle w:val="Compact"/>
              <w:jc w:val="right"/>
            </w:pPr>
            <w:r>
              <w:t xml:space="preserve">5.89 ± 0.42</w:t>
            </w:r>
          </w:p>
        </w:tc>
        <w:tc>
          <w:p>
            <w:pPr>
              <w:pStyle w:val="Compact"/>
              <w:jc w:val="right"/>
            </w:pPr>
            <w:r>
              <w:t xml:space="preserve">0.83 ± 0.47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SO4_S</w:t>
            </w:r>
          </w:p>
        </w:tc>
        <w:tc>
          <w:p>
            <w:pPr>
              <w:pStyle w:val="Compact"/>
              <w:jc w:val="right"/>
            </w:pPr>
            <w:r>
              <w:t xml:space="preserve">EB</w:t>
            </w:r>
          </w:p>
        </w:tc>
        <w:tc>
          <w:p>
            <w:pPr>
              <w:pStyle w:val="Compact"/>
              <w:jc w:val="right"/>
            </w:pPr>
            <w:r>
              <w:t xml:space="preserve">16.22 ± NA</w:t>
            </w:r>
          </w:p>
        </w:tc>
        <w:tc>
          <w:p>
            <w:pPr>
              <w:pStyle w:val="Compact"/>
              <w:jc w:val="right"/>
            </w:pPr>
            <w:r>
              <w:t xml:space="preserve">13.93 ± 0.82</w:t>
            </w:r>
          </w:p>
        </w:tc>
        <w:tc>
          <w:p>
            <w:pPr>
              <w:pStyle w:val="Compact"/>
              <w:jc w:val="right"/>
            </w:pPr>
            <w:r>
              <w:t xml:space="preserve">12.92 ± 0.94</w:t>
            </w:r>
          </w:p>
        </w:tc>
        <w:tc>
          <w:p>
            <w:pPr>
              <w:pStyle w:val="Compact"/>
              <w:jc w:val="right"/>
            </w:pPr>
            <w:r>
              <w:t xml:space="preserve">10.27 ± 0.91</w:t>
            </w:r>
          </w:p>
        </w:tc>
        <w:tc>
          <w:p>
            <w:pPr>
              <w:pStyle w:val="Compact"/>
              <w:jc w:val="right"/>
            </w:pPr>
            <w:r>
              <w:t xml:space="preserve">8.86 ± 0.25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SO4_S</w:t>
            </w:r>
          </w:p>
        </w:tc>
        <w:tc>
          <w:p>
            <w:pPr>
              <w:pStyle w:val="Compact"/>
              <w:jc w:val="right"/>
            </w:pPr>
            <w:r>
              <w:t xml:space="preserve">WB</w:t>
            </w:r>
          </w:p>
        </w:tc>
        <w:tc>
          <w:p>
            <w:pPr>
              <w:pStyle w:val="Compact"/>
              <w:jc w:val="right"/>
            </w:pPr>
            <w:r>
              <w:t xml:space="preserve">18.83 ± NA</w:t>
            </w:r>
          </w:p>
        </w:tc>
        <w:tc>
          <w:p>
            <w:pPr>
              <w:pStyle w:val="Compact"/>
              <w:jc w:val="right"/>
            </w:pPr>
            <w:r>
              <w:t xml:space="preserve">26.49 ± 2.15</w:t>
            </w:r>
          </w:p>
        </w:tc>
        <w:tc>
          <w:p>
            <w:pPr>
              <w:pStyle w:val="Compact"/>
              <w:jc w:val="right"/>
            </w:pPr>
            <w:r>
              <w:t xml:space="preserve">28.83 ± 2.3</w:t>
            </w:r>
          </w:p>
        </w:tc>
        <w:tc>
          <w:p>
            <w:pPr>
              <w:pStyle w:val="Compact"/>
              <w:jc w:val="right"/>
            </w:pPr>
            <w:r>
              <w:t xml:space="preserve">25.92 ± 1.9</w:t>
            </w:r>
          </w:p>
        </w:tc>
        <w:tc>
          <w:p>
            <w:pPr>
              <w:pStyle w:val="Compact"/>
              <w:jc w:val="right"/>
            </w:pPr>
            <w:r>
              <w:t xml:space="preserve">23.56 ± 2.01</w:t>
            </w:r>
          </w:p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concentrations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concentrations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33" w:name="fluxes"/>
      <w:r>
        <w:t xml:space="preserve">fluxes</w:t>
      </w:r>
      <w:bookmarkEnd w:id="33"/>
    </w:p>
    <w:p>
      <w:pPr>
        <w:pStyle w:val="Heading3"/>
      </w:pPr>
      <w:bookmarkStart w:id="34" w:name="nitrate-1"/>
      <w:r>
        <w:t xml:space="preserve">nitrate</w:t>
      </w:r>
      <w:bookmarkEnd w:id="34"/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fluxe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fluxes2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7" w:name="deposition"/>
      <w:r>
        <w:t xml:space="preserve">deposition</w:t>
      </w:r>
      <w:bookmarkEnd w:id="37"/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s/unnamed-chunk-6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39" Target="media/rId39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BBWM initial recovery</dc:title>
  <dc:creator>Kaizad Patel</dc:creator>
  <cp:keywords/>
  <dcterms:created xsi:type="dcterms:W3CDTF">2019-12-21T05:21:02Z</dcterms:created>
  <dcterms:modified xsi:type="dcterms:W3CDTF">2019-12-21T05:21:02Z</dcterms:modified>
</cp:coreProperties>
</file>