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CellMar>
          <w:top w:w="110" w:type="dxa"/>
          <w:start w:w="120" w:type="dxa"/>
          <w:bottom w:w="110" w:type="dxa"/>
          <w:end w:w="120" w:type="dxa"/>
        </w:tblCellMar>
      </w:tblPr>
      <w:tblGrid>
        <w:gridCol w:w="4997"/>
        <w:gridCol w:w="4997"/>
      </w:tblGrid>
      <w:tr>
        <w:tc>
          <w:tcPr>
            <w:tcW w:type="dxa" w:w="6912"/>
            <w:tcBorders>
              <w:start w:val="nil"/>
              <w:top w:val="nil"/>
              <w:end w:val="nil"/>
              <w:bottom w:val="nil"/>
            </w:tcBorders>
          </w:tcPr>
          <w:p>
            <w:pPr>
              <w:spacing w:after="40"/>
            </w:pPr>
            <w:r>
              <w:rPr>
                <w:rFonts w:ascii="Arial" w:hAnsi="Arial"/>
                <w:b/>
                <w:color w:val="0F172A"/>
                <w:sz w:val="52"/>
              </w:rPr>
              <w:t>Prism</w:t>
            </w:r>
            <w:r>
              <w:rPr>
                <w:rFonts w:ascii="Arial" w:hAnsi="Arial"/>
                <w:b/>
                <w:color w:val="06B6D4"/>
                <w:sz w:val="52"/>
              </w:rPr>
              <w:t>Rx</w:t>
            </w:r>
          </w:p>
          <w:p>
            <w:pPr>
              <w:spacing w:after="80"/>
            </w:pPr>
            <w:r>
              <w:rPr>
                <w:rFonts w:ascii="Arial" w:hAnsi="Arial"/>
                <w:b/>
                <w:color w:val="1E293B"/>
                <w:sz w:val="33"/>
              </w:rPr>
              <w:t>Hackathon Sprint Plan</w:t>
            </w:r>
          </w:p>
          <w:p>
            <w:pPr>
              <w:spacing w:after="0"/>
            </w:pPr>
            <w:r>
              <w:rPr>
                <w:rFonts w:ascii="Arial" w:hAnsi="Arial"/>
                <w:color w:val="64748B"/>
                <w:sz w:val="23"/>
              </w:rPr>
              <w:t>Innovation Hacks 2026 | Anton RX Track | Medical Benefit Drug Policy Tracker</w:t>
            </w:r>
          </w:p>
        </w:tc>
        <w:tc>
          <w:tcPr>
            <w:tcW w:type="dxa" w:w="3024"/>
            <w:shd w:fill="F8FAFC"/>
            <w:tcBorders>
              <w:start w:val="single" w:sz="8" w:color="D8E2EC"/>
              <w:top w:val="single" w:sz="8" w:color="D8E2EC"/>
              <w:end w:val="single" w:sz="8" w:color="D8E2EC"/>
              <w:bottom w:val="single" w:sz="8" w:color="D8E2EC"/>
            </w:tcBorders>
            <w:vAlign w:val="center"/>
          </w:tcPr>
          <w:p>
            <w:pPr>
              <w:spacing w:after="40"/>
            </w:pPr>
            <w:r>
              <w:rPr>
                <w:rFonts w:ascii="Arial" w:hAnsi="Arial"/>
                <w:b/>
                <w:color w:val="06B6D4"/>
                <w:sz w:val="18"/>
              </w:rPr>
              <w:t>Build</w:t>
              <w:br/>
            </w:r>
            <w:r>
              <w:rPr>
                <w:rFonts w:ascii="Arial" w:hAnsi="Arial"/>
                <w:color w:val="334155"/>
                <w:sz w:val="20"/>
              </w:rPr>
              <w:t>Executable coverage intelligence engine</w:t>
            </w:r>
          </w:p>
          <w:p>
            <w:pPr>
              <w:spacing w:after="40"/>
            </w:pPr>
            <w:r>
              <w:rPr>
                <w:rFonts w:ascii="Arial" w:hAnsi="Arial"/>
                <w:b/>
                <w:color w:val="06B6D4"/>
                <w:sz w:val="18"/>
              </w:rPr>
              <w:t>Core users</w:t>
              <w:br/>
            </w:r>
            <w:r>
              <w:rPr>
                <w:rFonts w:ascii="Arial" w:hAnsi="Arial"/>
                <w:color w:val="334155"/>
                <w:sz w:val="20"/>
              </w:rPr>
              <w:t>Analyst + access coordinator</w:t>
            </w:r>
          </w:p>
          <w:p>
            <w:pPr>
              <w:spacing w:after="40"/>
            </w:pPr>
            <w:r>
              <w:rPr>
                <w:rFonts w:ascii="Arial" w:hAnsi="Arial"/>
                <w:b/>
                <w:color w:val="06B6D4"/>
                <w:sz w:val="18"/>
              </w:rPr>
              <w:t>Integrations</w:t>
              <w:br/>
            </w:r>
            <w:r>
              <w:rPr>
                <w:rFonts w:ascii="Arial" w:hAnsi="Arial"/>
                <w:color w:val="334155"/>
                <w:sz w:val="20"/>
              </w:rPr>
              <w:t>Auth0 + ElevenLabs</w:t>
            </w:r>
          </w:p>
          <w:p>
            <w:pPr>
              <w:spacing w:after="40"/>
            </w:pPr>
            <w:r>
              <w:rPr>
                <w:rFonts w:ascii="Arial" w:hAnsi="Arial"/>
                <w:b/>
                <w:color w:val="06B6D4"/>
                <w:sz w:val="18"/>
              </w:rPr>
              <w:t>Demo posture</w:t>
              <w:br/>
            </w:r>
            <w:r>
              <w:rPr>
                <w:rFonts w:ascii="Arial" w:hAnsi="Arial"/>
                <w:color w:val="334155"/>
                <w:sz w:val="20"/>
              </w:rPr>
              <w:t>Public docs + synthetic cases</w:t>
            </w:r>
          </w:p>
        </w:tc>
      </w:tr>
    </w:tbl>
    <w:p>
      <w:pPr>
        <w:spacing w:after="60" w:before="0"/>
      </w:pPr>
    </w:p>
    <w:tbl>
      <w:tblPr>
        <w:tblW w:type="auto" w:w="0"/>
        <w:jc w:val="center"/>
        <w:tblLayout w:type="fixed"/>
        <w:tblLook w:firstColumn="1" w:firstRow="1" w:lastColumn="0" w:lastRow="0" w:noHBand="0" w:noVBand="1" w:val="04A0"/>
      </w:tblPr>
      <w:tblGrid>
        <w:gridCol w:w="9994"/>
      </w:tblGrid>
      <w:tr>
        <w:trPr>
          <w:trHeight w:val="20"/>
        </w:trPr>
        <w:tc>
          <w:tcPr>
            <w:tcW w:type="dxa" w:w="9864"/>
            <w:shd w:fill="06B6D4"/>
            <w:tcBorders>
              <w:start w:val="nil"/>
              <w:top w:val="nil"/>
              <w:end w:val="nil"/>
              <w:bottom w:val="nil"/>
            </w:tcBorders>
          </w:tcPr>
          <w:p/>
        </w:tc>
      </w:tr>
    </w:tbl>
    <w:p/>
    <w:p>
      <w:pPr>
        <w:spacing w:before="40" w:after="120"/>
        <w:jc w:val="left"/>
      </w:pPr>
      <w:r>
        <w:rPr>
          <w:rFonts w:ascii="Arial" w:hAnsi="Arial"/>
          <w:color w:val="334155"/>
          <w:sz w:val="21"/>
        </w:rPr>
        <w:t>PrismRx turns fragmented medical-benefit drug policies into a searchable, comparable, and explainable workspace. The MVP focuses on public payer policy documents and synthetic patient scenarios so the team can demo real access intelligence without touching PHI.</w:t>
      </w:r>
    </w:p>
    <w:tbl>
      <w:tblPr>
        <w:tblW w:type="auto" w:w="0"/>
        <w:jc w:val="center"/>
        <w:tblLayout w:type="fixed"/>
        <w:tblLook w:firstColumn="1" w:firstRow="1" w:lastColumn="0" w:lastRow="0" w:noHBand="0" w:noVBand="1" w:val="04A0"/>
        <w:tblCellMar>
          <w:top w:w="95" w:type="dxa"/>
          <w:start w:w="110" w:type="dxa"/>
          <w:bottom w:w="85" w:type="dxa"/>
          <w:end w:w="110" w:type="dxa"/>
        </w:tblCellMar>
      </w:tblPr>
      <w:tblGrid>
        <w:gridCol w:w="3331"/>
        <w:gridCol w:w="3331"/>
        <w:gridCol w:w="3331"/>
      </w:tblGrid>
      <w:tr>
        <w:tc>
          <w:tcPr>
            <w:tcW w:type="dxa" w:w="3240"/>
            <w:shd w:fill="F8FAFC"/>
            <w:tcBorders>
              <w:start w:val="single" w:sz="8" w:color="D8E2EC"/>
              <w:top w:val="single" w:sz="8" w:color="D8E2EC"/>
              <w:end w:val="single" w:sz="8" w:color="D8E2EC"/>
              <w:bottom w:val="single" w:sz="8" w:color="D8E2EC"/>
            </w:tcBorders>
            <w:vAlign w:val="center"/>
          </w:tcPr>
          <w:p>
            <w:pPr>
              <w:spacing w:after="40"/>
            </w:pPr>
            <w:r>
              <w:rPr>
                <w:rFonts w:ascii="Arial" w:hAnsi="Arial"/>
                <w:b/>
                <w:color w:val="0F172A"/>
                <w:sz w:val="20"/>
              </w:rPr>
              <w:t>Normalize</w:t>
            </w:r>
          </w:p>
          <w:p>
            <w:pPr>
              <w:spacing w:after="0"/>
            </w:pPr>
            <w:r>
              <w:rPr>
                <w:rFonts w:ascii="Arial" w:hAnsi="Arial"/>
                <w:color w:val="334155"/>
                <w:sz w:val="18"/>
              </w:rPr>
              <w:t>Convert payer PDFs and policy pages into structured Policy DNA objects.</w:t>
            </w:r>
          </w:p>
        </w:tc>
        <w:tc>
          <w:tcPr>
            <w:tcW w:type="dxa" w:w="3240"/>
            <w:shd w:fill="F8FAFC"/>
            <w:tcBorders>
              <w:start w:val="single" w:sz="8" w:color="D8E2EC"/>
              <w:top w:val="single" w:sz="8" w:color="D8E2EC"/>
              <w:end w:val="single" w:sz="8" w:color="D8E2EC"/>
              <w:bottom w:val="single" w:sz="8" w:color="D8E2EC"/>
            </w:tcBorders>
            <w:vAlign w:val="center"/>
          </w:tcPr>
          <w:p>
            <w:pPr>
              <w:spacing w:after="40"/>
            </w:pPr>
            <w:r>
              <w:rPr>
                <w:rFonts w:ascii="Arial" w:hAnsi="Arial"/>
                <w:b/>
                <w:color w:val="0F172A"/>
                <w:sz w:val="20"/>
              </w:rPr>
              <w:t>Simulate</w:t>
            </w:r>
          </w:p>
          <w:p>
            <w:pPr>
              <w:spacing w:after="0"/>
            </w:pPr>
            <w:r>
              <w:rPr>
                <w:rFonts w:ascii="Arial" w:hAnsi="Arial"/>
                <w:color w:val="334155"/>
                <w:sz w:val="18"/>
              </w:rPr>
              <w:t>Show approval blockers and the fastest approvable path for a case.</w:t>
            </w:r>
          </w:p>
        </w:tc>
        <w:tc>
          <w:tcPr>
            <w:tcW w:type="dxa" w:w="3240"/>
            <w:shd w:fill="F8FAFC"/>
            <w:tcBorders>
              <w:start w:val="single" w:sz="8" w:color="D8E2EC"/>
              <w:top w:val="single" w:sz="8" w:color="D8E2EC"/>
              <w:end w:val="single" w:sz="8" w:color="D8E2EC"/>
              <w:bottom w:val="single" w:sz="8" w:color="D8E2EC"/>
            </w:tcBorders>
            <w:vAlign w:val="center"/>
          </w:tcPr>
          <w:p>
            <w:pPr>
              <w:spacing w:after="40"/>
            </w:pPr>
            <w:r>
              <w:rPr>
                <w:rFonts w:ascii="Arial" w:hAnsi="Arial"/>
                <w:b/>
                <w:color w:val="0F172A"/>
                <w:sz w:val="20"/>
              </w:rPr>
              <w:t>Explain</w:t>
            </w:r>
          </w:p>
          <w:p>
            <w:pPr>
              <w:spacing w:after="0"/>
            </w:pPr>
            <w:r>
              <w:rPr>
                <w:rFonts w:ascii="Arial" w:hAnsi="Arial"/>
                <w:color w:val="334155"/>
                <w:sz w:val="18"/>
              </w:rPr>
              <w:t>Surface semantic policy changes, evidence, and next-best action.</w:t>
            </w:r>
          </w:p>
        </w:tc>
      </w:tr>
    </w:tbl>
    <w:p>
      <w:pPr>
        <w:spacing w:after="100" w:before="0"/>
      </w:pPr>
    </w:p>
    <w:tbl>
      <w:tblPr>
        <w:tblW w:type="auto" w:w="0"/>
        <w:jc w:val="center"/>
        <w:tblLayout w:type="fixed"/>
        <w:tblLook w:firstColumn="1" w:firstRow="1" w:lastColumn="0" w:lastRow="0" w:noHBand="0" w:noVBand="1" w:val="04A0"/>
        <w:tblCellMar>
          <w:top w:w="85" w:type="dxa"/>
          <w:start w:w="100" w:type="dxa"/>
          <w:bottom w:w="85" w:type="dxa"/>
          <w:end w:w="110" w:type="dxa"/>
        </w:tblCellMar>
      </w:tblPr>
      <w:tblGrid>
        <w:gridCol w:w="4997"/>
        <w:gridCol w:w="4997"/>
      </w:tblGrid>
      <w:tr>
        <w:tc>
          <w:tcPr>
            <w:tcW w:type="dxa" w:w="2448"/>
            <w:tcBorders>
              <w:start w:val="single" w:sz="6" w:color="D8E2EC"/>
              <w:top w:val="single" w:sz="6" w:color="D8E2EC"/>
              <w:end w:val="single" w:sz="6" w:color="D8E2EC"/>
              <w:bottom w:val="single" w:sz="6" w:color="D8E2EC"/>
            </w:tcBorders>
            <w:shd w:fill="F8FAFC"/>
            <w:vAlign w:val="center"/>
          </w:tcPr>
          <w:p>
            <w:pPr>
              <w:spacing w:after="0"/>
            </w:pPr>
            <w:r>
              <w:rPr>
                <w:rFonts w:ascii="Arial" w:hAnsi="Arial"/>
                <w:b/>
                <w:color w:val="0F172A"/>
                <w:sz w:val="18"/>
              </w:rPr>
              <w:t>Winning wedge</w:t>
            </w:r>
          </w:p>
        </w:tc>
        <w:tc>
          <w:tcPr>
            <w:tcW w:type="dxa" w:w="7488"/>
            <w:tcBorders>
              <w:start w:val="single" w:sz="6" w:color="D8E2EC"/>
              <w:top w:val="single" w:sz="6" w:color="D8E2EC"/>
              <w:end w:val="single" w:sz="6" w:color="D8E2EC"/>
              <w:bottom w:val="single" w:sz="6" w:color="D8E2EC"/>
            </w:tcBorders>
            <w:vAlign w:val="center"/>
          </w:tcPr>
          <w:p>
            <w:pPr>
              <w:spacing w:after="0"/>
            </w:pPr>
            <w:r>
              <w:rPr>
                <w:rFonts w:ascii="Arial" w:hAnsi="Arial"/>
                <w:color w:val="334155"/>
                <w:sz w:val="19"/>
              </w:rPr>
              <w:t>Do not build a PDF chatbot. Build a policy decision layer that can compare coverage, surface blockers, and replay change impact.</w:t>
            </w:r>
          </w:p>
        </w:tc>
      </w:tr>
      <w:tr>
        <w:tc>
          <w:tcPr>
            <w:tcW w:type="dxa" w:w="2448"/>
            <w:tcBorders>
              <w:start w:val="single" w:sz="6" w:color="D8E2EC"/>
              <w:top w:val="single" w:sz="6" w:color="D8E2EC"/>
              <w:end w:val="single" w:sz="6" w:color="D8E2EC"/>
              <w:bottom w:val="single" w:sz="6" w:color="D8E2EC"/>
            </w:tcBorders>
            <w:shd w:fill="F8FAFC"/>
            <w:vAlign w:val="center"/>
          </w:tcPr>
          <w:p>
            <w:pPr>
              <w:spacing w:after="0"/>
            </w:pPr>
            <w:r>
              <w:rPr>
                <w:rFonts w:ascii="Arial" w:hAnsi="Arial"/>
                <w:b/>
                <w:color w:val="0F172A"/>
                <w:sz w:val="18"/>
              </w:rPr>
              <w:t>Must ship</w:t>
            </w:r>
          </w:p>
        </w:tc>
        <w:tc>
          <w:tcPr>
            <w:tcW w:type="dxa" w:w="7488"/>
            <w:tcBorders>
              <w:start w:val="single" w:sz="6" w:color="D8E2EC"/>
              <w:top w:val="single" w:sz="6" w:color="D8E2EC"/>
              <w:end w:val="single" w:sz="6" w:color="D8E2EC"/>
              <w:bottom w:val="single" w:sz="6" w:color="D8E2EC"/>
            </w:tcBorders>
            <w:vAlign w:val="center"/>
          </w:tcPr>
          <w:p>
            <w:pPr>
              <w:spacing w:after="0"/>
            </w:pPr>
            <w:r>
              <w:rPr>
                <w:rFonts w:ascii="Arial" w:hAnsi="Arial"/>
                <w:color w:val="334155"/>
                <w:sz w:val="19"/>
              </w:rPr>
              <w:t>Coverage Matrix, Policy Fit Simulator, Change Radar, source citations, one secure role-based workflow, one reliable voice brief.</w:t>
            </w:r>
          </w:p>
        </w:tc>
      </w:tr>
      <w:tr>
        <w:tc>
          <w:tcPr>
            <w:tcW w:type="dxa" w:w="2448"/>
            <w:tcBorders>
              <w:start w:val="single" w:sz="6" w:color="D8E2EC"/>
              <w:top w:val="single" w:sz="6" w:color="D8E2EC"/>
              <w:end w:val="single" w:sz="6" w:color="D8E2EC"/>
              <w:bottom w:val="single" w:sz="6" w:color="D8E2EC"/>
            </w:tcBorders>
            <w:shd w:fill="F8FAFC"/>
            <w:vAlign w:val="center"/>
          </w:tcPr>
          <w:p>
            <w:pPr>
              <w:spacing w:after="0"/>
            </w:pPr>
            <w:r>
              <w:rPr>
                <w:rFonts w:ascii="Arial" w:hAnsi="Arial"/>
                <w:b/>
                <w:color w:val="0F172A"/>
                <w:sz w:val="18"/>
              </w:rPr>
              <w:t>Scope lock</w:t>
            </w:r>
          </w:p>
        </w:tc>
        <w:tc>
          <w:tcPr>
            <w:tcW w:type="dxa" w:w="7488"/>
            <w:tcBorders>
              <w:start w:val="single" w:sz="6" w:color="D8E2EC"/>
              <w:top w:val="single" w:sz="6" w:color="D8E2EC"/>
              <w:end w:val="single" w:sz="6" w:color="D8E2EC"/>
              <w:bottom w:val="single" w:sz="6" w:color="D8E2EC"/>
            </w:tcBorders>
            <w:vAlign w:val="center"/>
          </w:tcPr>
          <w:p>
            <w:pPr>
              <w:spacing w:after="0"/>
            </w:pPr>
            <w:r>
              <w:rPr>
                <w:rFonts w:ascii="Arial" w:hAnsi="Arial"/>
                <w:color w:val="334155"/>
                <w:sz w:val="19"/>
              </w:rPr>
              <w:t>One therapeutic area, 4-5 payers, 20-40 public documents, 5-7 drug families, 2-4 version pairs for semantic diff.</w:t>
            </w:r>
          </w:p>
        </w:tc>
      </w:tr>
      <w:tr>
        <w:tc>
          <w:tcPr>
            <w:tcW w:type="dxa" w:w="2448"/>
            <w:tcBorders>
              <w:start w:val="single" w:sz="6" w:color="D8E2EC"/>
              <w:top w:val="single" w:sz="6" w:color="D8E2EC"/>
              <w:end w:val="single" w:sz="6" w:color="D8E2EC"/>
              <w:bottom w:val="single" w:sz="6" w:color="D8E2EC"/>
            </w:tcBorders>
            <w:shd w:fill="F8FAFC"/>
            <w:vAlign w:val="center"/>
          </w:tcPr>
          <w:p>
            <w:pPr>
              <w:spacing w:after="0"/>
            </w:pPr>
            <w:r>
              <w:rPr>
                <w:rFonts w:ascii="Arial" w:hAnsi="Arial"/>
                <w:b/>
                <w:color w:val="0F172A"/>
                <w:sz w:val="18"/>
              </w:rPr>
              <w:t>Compliance</w:t>
            </w:r>
          </w:p>
        </w:tc>
        <w:tc>
          <w:tcPr>
            <w:tcW w:type="dxa" w:w="7488"/>
            <w:tcBorders>
              <w:start w:val="single" w:sz="6" w:color="D8E2EC"/>
              <w:top w:val="single" w:sz="6" w:color="D8E2EC"/>
              <w:end w:val="single" w:sz="6" w:color="D8E2EC"/>
              <w:bottom w:val="single" w:sz="6" w:color="D8E2EC"/>
            </w:tcBorders>
            <w:vAlign w:val="center"/>
          </w:tcPr>
          <w:p>
            <w:pPr>
              <w:spacing w:after="0"/>
            </w:pPr>
            <w:r>
              <w:rPr>
                <w:rFonts w:ascii="Arial" w:hAnsi="Arial"/>
                <w:color w:val="334155"/>
                <w:sz w:val="19"/>
              </w:rPr>
              <w:t>Hackathon build uses no real patient data. Describe it as HIPAA-aware architecture, not as a live HIPAA-compliant deployment.</w:t>
            </w:r>
          </w:p>
        </w:tc>
      </w:tr>
      <w:tr>
        <w:tc>
          <w:tcPr>
            <w:tcW w:type="dxa" w:w="2448"/>
            <w:tcBorders>
              <w:start w:val="single" w:sz="6" w:color="D8E2EC"/>
              <w:top w:val="single" w:sz="6" w:color="D8E2EC"/>
              <w:end w:val="single" w:sz="6" w:color="D8E2EC"/>
              <w:bottom w:val="single" w:sz="6" w:color="D8E2EC"/>
            </w:tcBorders>
            <w:shd w:fill="F8FAFC"/>
            <w:vAlign w:val="center"/>
          </w:tcPr>
          <w:p>
            <w:pPr>
              <w:spacing w:after="0"/>
            </w:pPr>
            <w:r>
              <w:rPr>
                <w:rFonts w:ascii="Arial" w:hAnsi="Arial"/>
                <w:b/>
                <w:color w:val="0F172A"/>
                <w:sz w:val="18"/>
              </w:rPr>
              <w:t>Judge line</w:t>
            </w:r>
          </w:p>
        </w:tc>
        <w:tc>
          <w:tcPr>
            <w:tcW w:type="dxa" w:w="7488"/>
            <w:tcBorders>
              <w:start w:val="single" w:sz="6" w:color="D8E2EC"/>
              <w:top w:val="single" w:sz="6" w:color="D8E2EC"/>
              <w:end w:val="single" w:sz="6" w:color="D8E2EC"/>
              <w:bottom w:val="single" w:sz="6" w:color="D8E2EC"/>
            </w:tcBorders>
            <w:vAlign w:val="center"/>
          </w:tcPr>
          <w:p>
            <w:pPr>
              <w:spacing w:after="0"/>
            </w:pPr>
            <w:r>
              <w:rPr>
                <w:rFonts w:ascii="Arial" w:hAnsi="Arial"/>
                <w:color w:val="334155"/>
                <w:sz w:val="19"/>
              </w:rPr>
              <w:t>Most policy trackers tell you what a document says. PrismRx tells you what it means for access, what changed, and what to do next.</w:t>
            </w:r>
          </w:p>
        </w:tc>
      </w:tr>
    </w:tbl>
    <w:p>
      <w:r>
        <w:br w:type="page"/>
      </w:r>
    </w:p>
    <w:p>
      <w:pPr>
        <w:pStyle w:val="Heading1"/>
        <w:spacing w:before="0" w:after="80" w:line="259" w:lineRule="auto"/>
      </w:pPr>
      <w:r>
        <w:rPr>
          <w:rFonts w:ascii="Arial" w:hAnsi="Arial"/>
          <w:b w:val="0"/>
          <w:color w:val="334155"/>
          <w:sz w:val="21"/>
        </w:rPr>
        <w:t>1. Strategy and scope lock</w:t>
      </w:r>
    </w:p>
    <w:p>
      <w:pPr>
        <w:spacing w:before="0" w:after="120" w:line="259" w:lineRule="auto"/>
      </w:pPr>
      <w:r>
        <w:rPr>
          <w:rFonts w:ascii="Arial" w:hAnsi="Arial"/>
          <w:b w:val="0"/>
          <w:color w:val="334155"/>
          <w:sz w:val="21"/>
        </w:rPr>
        <w:t>The product should behave like a focused coverage intelligence workspace, not a general-purpose document chat tool. Keep the story simple: compare payers, understand access criteria, simulate a case, and show what changed.</w:t>
      </w:r>
    </w:p>
    <w:tbl>
      <w:tblPr>
        <w:tblW w:type="auto" w:w="0"/>
        <w:jc w:val="center"/>
        <w:tblLayout w:type="fixed"/>
        <w:tblLook w:firstColumn="1" w:firstRow="1" w:lastColumn="0" w:lastRow="0" w:noHBand="0" w:noVBand="1" w:val="04A0"/>
        <w:tblCellMar>
          <w:top w:w="95" w:type="dxa"/>
          <w:start w:w="110" w:type="dxa"/>
          <w:bottom w:w="95" w:type="dxa"/>
          <w:end w:w="110" w:type="dxa"/>
        </w:tblCellMar>
      </w:tblPr>
      <w:tblGrid>
        <w:gridCol w:w="4997"/>
        <w:gridCol w:w="4997"/>
      </w:tblGrid>
      <w:tr>
        <w:tc>
          <w:tcPr>
            <w:tcW w:type="dxa" w:w="4824"/>
            <w:tcBorders>
              <w:start w:val="single" w:sz="6" w:color="D8E2EC"/>
              <w:top w:val="single" w:sz="6" w:color="D8E2EC"/>
              <w:end w:val="single" w:sz="6" w:color="D8E2EC"/>
              <w:bottom w:val="single" w:sz="6" w:color="D8E2EC"/>
            </w:tcBorders>
            <w:shd w:fill="F8FAFC"/>
          </w:tcPr>
          <w:p>
            <w:r>
              <w:rPr>
                <w:rFonts w:ascii="Arial" w:hAnsi="Arial"/>
                <w:b/>
                <w:color w:val="0F172A"/>
                <w:sz w:val="20"/>
              </w:rPr>
              <w:t>Product concept</w:t>
            </w:r>
          </w:p>
        </w:tc>
        <w:tc>
          <w:tcPr>
            <w:tcW w:type="dxa" w:w="5112"/>
            <w:tcBorders>
              <w:start w:val="single" w:sz="6" w:color="D8E2EC"/>
              <w:top w:val="single" w:sz="6" w:color="D8E2EC"/>
              <w:end w:val="single" w:sz="6" w:color="D8E2EC"/>
              <w:bottom w:val="single" w:sz="6" w:color="D8E2EC"/>
            </w:tcBorders>
          </w:tcPr>
          <w:p>
            <w:pPr>
              <w:pStyle w:val="ListBullet"/>
              <w:spacing w:before="0" w:after="30" w:line="240" w:lineRule="auto"/>
            </w:pPr>
            <w:r>
              <w:rPr>
                <w:rFonts w:ascii="Arial" w:hAnsi="Arial"/>
                <w:color w:val="334155"/>
                <w:sz w:val="19"/>
              </w:rPr>
              <w:t>Coverage Matrix for fast plan-by-plan comparison.</w:t>
            </w:r>
          </w:p>
          <w:p>
            <w:pPr>
              <w:pStyle w:val="ListBullet"/>
              <w:spacing w:before="0" w:after="30" w:line="240" w:lineRule="auto"/>
            </w:pPr>
            <w:r>
              <w:rPr>
                <w:rFonts w:ascii="Arial" w:hAnsi="Arial"/>
                <w:color w:val="334155"/>
                <w:sz w:val="19"/>
              </w:rPr>
              <w:t>Policy Fit Simulator to show blockers, missing evidence, and next-best action.</w:t>
            </w:r>
          </w:p>
          <w:p>
            <w:pPr>
              <w:pStyle w:val="ListBullet"/>
              <w:spacing w:before="0" w:after="30" w:line="240" w:lineRule="auto"/>
            </w:pPr>
            <w:r>
              <w:rPr>
                <w:rFonts w:ascii="Arial" w:hAnsi="Arial"/>
                <w:color w:val="334155"/>
                <w:sz w:val="19"/>
              </w:rPr>
              <w:t>Change Radar to detect semantic shifts between policy versions.</w:t>
            </w:r>
          </w:p>
          <w:p>
            <w:pPr>
              <w:pStyle w:val="ListBullet"/>
              <w:spacing w:before="0" w:after="30" w:line="240" w:lineRule="auto"/>
            </w:pPr>
            <w:r>
              <w:rPr>
                <w:rFonts w:ascii="Arial" w:hAnsi="Arial"/>
                <w:color w:val="334155"/>
                <w:sz w:val="19"/>
              </w:rPr>
              <w:t>Evidence Pack with source-backed checklist and short PA summary.</w:t>
            </w:r>
          </w:p>
        </w:tc>
      </w:tr>
      <w:tr>
        <w:tc>
          <w:tcPr>
            <w:tcW w:type="dxa" w:w="4824"/>
            <w:tcBorders>
              <w:start w:val="single" w:sz="6" w:color="D8E2EC"/>
              <w:top w:val="single" w:sz="6" w:color="D8E2EC"/>
              <w:end w:val="single" w:sz="6" w:color="D8E2EC"/>
              <w:bottom w:val="single" w:sz="6" w:color="D8E2EC"/>
            </w:tcBorders>
            <w:shd w:fill="F8FAFC"/>
          </w:tcPr>
          <w:p>
            <w:r>
              <w:rPr>
                <w:rFonts w:ascii="Arial" w:hAnsi="Arial"/>
                <w:b/>
                <w:color w:val="0F172A"/>
                <w:sz w:val="20"/>
              </w:rPr>
              <w:t>Primary users</w:t>
            </w:r>
          </w:p>
        </w:tc>
        <w:tc>
          <w:tcPr>
            <w:tcW w:type="dxa" w:w="5112"/>
            <w:tcBorders>
              <w:start w:val="single" w:sz="6" w:color="D8E2EC"/>
              <w:top w:val="single" w:sz="6" w:color="D8E2EC"/>
              <w:end w:val="single" w:sz="6" w:color="D8E2EC"/>
              <w:bottom w:val="single" w:sz="6" w:color="D8E2EC"/>
            </w:tcBorders>
          </w:tcPr>
          <w:p>
            <w:pPr>
              <w:pStyle w:val="ListBullet"/>
              <w:spacing w:before="0" w:after="30" w:line="240" w:lineRule="auto"/>
            </w:pPr>
            <w:r>
              <w:rPr>
                <w:rFonts w:ascii="Arial" w:hAnsi="Arial"/>
                <w:color w:val="334155"/>
                <w:sz w:val="19"/>
              </w:rPr>
              <w:t>Analyst: compare coverage posture, preferred products, and policy drift.</w:t>
            </w:r>
          </w:p>
          <w:p>
            <w:pPr>
              <w:pStyle w:val="ListBullet"/>
              <w:spacing w:before="0" w:after="30" w:line="240" w:lineRule="auto"/>
            </w:pPr>
            <w:r>
              <w:rPr>
                <w:rFonts w:ascii="Arial" w:hAnsi="Arial"/>
                <w:color w:val="334155"/>
                <w:sz w:val="19"/>
              </w:rPr>
              <w:t>Access coordinator: understand what is missing for a synthetic patient case.</w:t>
            </w:r>
          </w:p>
          <w:p>
            <w:pPr>
              <w:pStyle w:val="ListBullet"/>
              <w:spacing w:before="0" w:after="30" w:line="240" w:lineRule="auto"/>
            </w:pPr>
            <w:r>
              <w:rPr>
                <w:rFonts w:ascii="Arial" w:hAnsi="Arial"/>
                <w:color w:val="334155"/>
                <w:sz w:val="19"/>
              </w:rPr>
              <w:t>Judge view: one clean demo path with visible citations and clear outcomes.</w:t>
            </w:r>
          </w:p>
        </w:tc>
      </w:tr>
      <w:tr>
        <w:tc>
          <w:tcPr>
            <w:tcW w:type="dxa" w:w="4824"/>
            <w:tcBorders>
              <w:start w:val="single" w:sz="6" w:color="D8E2EC"/>
              <w:top w:val="single" w:sz="6" w:color="D8E2EC"/>
              <w:end w:val="single" w:sz="6" w:color="D8E2EC"/>
              <w:bottom w:val="single" w:sz="6" w:color="D8E2EC"/>
            </w:tcBorders>
            <w:shd w:fill="F8FAFC"/>
          </w:tcPr>
          <w:p>
            <w:r>
              <w:rPr>
                <w:rFonts w:ascii="Arial" w:hAnsi="Arial"/>
                <w:b/>
                <w:color w:val="0F172A"/>
                <w:sz w:val="20"/>
              </w:rPr>
              <w:t>Guardrails</w:t>
            </w:r>
          </w:p>
        </w:tc>
        <w:tc>
          <w:tcPr>
            <w:tcW w:type="dxa" w:w="5112"/>
            <w:tcBorders>
              <w:start w:val="single" w:sz="6" w:color="D8E2EC"/>
              <w:top w:val="single" w:sz="6" w:color="D8E2EC"/>
              <w:end w:val="single" w:sz="6" w:color="D8E2EC"/>
              <w:bottom w:val="single" w:sz="6" w:color="D8E2EC"/>
            </w:tcBorders>
          </w:tcPr>
          <w:p>
            <w:pPr>
              <w:pStyle w:val="ListBullet"/>
              <w:spacing w:before="0" w:after="30" w:line="240" w:lineRule="auto"/>
            </w:pPr>
            <w:r>
              <w:rPr>
                <w:rFonts w:ascii="Arial" w:hAnsi="Arial"/>
                <w:color w:val="334155"/>
                <w:sz w:val="19"/>
              </w:rPr>
              <w:t>Public payer documents only.</w:t>
            </w:r>
          </w:p>
          <w:p>
            <w:pPr>
              <w:pStyle w:val="ListBullet"/>
              <w:spacing w:before="0" w:after="30" w:line="240" w:lineRule="auto"/>
            </w:pPr>
            <w:r>
              <w:rPr>
                <w:rFonts w:ascii="Arial" w:hAnsi="Arial"/>
                <w:color w:val="334155"/>
                <w:sz w:val="19"/>
              </w:rPr>
              <w:t>Synthetic patient scenarios only; no member identifiers, no claims uploads, no PHI.</w:t>
            </w:r>
          </w:p>
          <w:p>
            <w:pPr>
              <w:pStyle w:val="ListBullet"/>
              <w:spacing w:before="0" w:after="30" w:line="240" w:lineRule="auto"/>
            </w:pPr>
            <w:r>
              <w:rPr>
                <w:rFonts w:ascii="Arial" w:hAnsi="Arial"/>
                <w:color w:val="334155"/>
                <w:sz w:val="19"/>
              </w:rPr>
              <w:t>One therapeutic area only: autoimmune / inflammatory infused biologics.</w:t>
            </w:r>
          </w:p>
          <w:p>
            <w:pPr>
              <w:pStyle w:val="ListBullet"/>
              <w:spacing w:before="0" w:after="30" w:line="240" w:lineRule="auto"/>
            </w:pPr>
            <w:r>
              <w:rPr>
                <w:rFonts w:ascii="Arial" w:hAnsi="Arial"/>
                <w:color w:val="334155"/>
                <w:sz w:val="19"/>
              </w:rPr>
              <w:t>One agent orchestrator with tool calls; avoid an overbuilt multi-agent stack.</w:t>
            </w:r>
          </w:p>
        </w:tc>
      </w:tr>
      <w:tr>
        <w:tc>
          <w:tcPr>
            <w:tcW w:type="dxa" w:w="4824"/>
            <w:tcBorders>
              <w:start w:val="single" w:sz="6" w:color="D8E2EC"/>
              <w:top w:val="single" w:sz="6" w:color="D8E2EC"/>
              <w:end w:val="single" w:sz="6" w:color="D8E2EC"/>
              <w:bottom w:val="single" w:sz="6" w:color="D8E2EC"/>
            </w:tcBorders>
            <w:shd w:fill="F8FAFC"/>
          </w:tcPr>
          <w:p>
            <w:r>
              <w:rPr>
                <w:rFonts w:ascii="Arial" w:hAnsi="Arial"/>
                <w:b/>
                <w:color w:val="0F172A"/>
                <w:sz w:val="20"/>
              </w:rPr>
              <w:t>Stretch innovations</w:t>
            </w:r>
          </w:p>
        </w:tc>
        <w:tc>
          <w:tcPr>
            <w:tcW w:type="dxa" w:w="5112"/>
            <w:tcBorders>
              <w:start w:val="single" w:sz="6" w:color="D8E2EC"/>
              <w:top w:val="single" w:sz="6" w:color="D8E2EC"/>
              <w:end w:val="single" w:sz="6" w:color="D8E2EC"/>
              <w:bottom w:val="single" w:sz="6" w:color="D8E2EC"/>
            </w:tcBorders>
          </w:tcPr>
          <w:p>
            <w:pPr>
              <w:pStyle w:val="ListBullet"/>
              <w:spacing w:before="0" w:after="30" w:line="240" w:lineRule="auto"/>
            </w:pPr>
            <w:r>
              <w:rPr>
                <w:rFonts w:ascii="Arial" w:hAnsi="Arial"/>
                <w:color w:val="334155"/>
                <w:sz w:val="19"/>
              </w:rPr>
              <w:t>Access Friction Score to quantify administrative burden.</w:t>
            </w:r>
          </w:p>
          <w:p>
            <w:pPr>
              <w:pStyle w:val="ListBullet"/>
              <w:spacing w:before="0" w:after="30" w:line="240" w:lineRule="auto"/>
            </w:pPr>
            <w:r>
              <w:rPr>
                <w:rFonts w:ascii="Arial" w:hAnsi="Arial"/>
                <w:color w:val="334155"/>
                <w:sz w:val="19"/>
              </w:rPr>
              <w:t>Impact Replay to show which archetype cases are newly approved or blocked after a policy change.</w:t>
            </w:r>
          </w:p>
          <w:p>
            <w:pPr>
              <w:pStyle w:val="ListBullet"/>
              <w:spacing w:before="0" w:after="30" w:line="240" w:lineRule="auto"/>
            </w:pPr>
            <w:r>
              <w:rPr>
                <w:rFonts w:ascii="Arial" w:hAnsi="Arial"/>
                <w:color w:val="334155"/>
                <w:sz w:val="19"/>
              </w:rPr>
              <w:t>Policy Linter to flag vague, conflicting, or incomplete payer language.</w:t>
            </w:r>
          </w:p>
          <w:p>
            <w:pPr>
              <w:pStyle w:val="ListBullet"/>
              <w:spacing w:before="0" w:after="30" w:line="240" w:lineRule="auto"/>
            </w:pPr>
            <w:r>
              <w:rPr>
                <w:rFonts w:ascii="Arial" w:hAnsi="Arial"/>
                <w:color w:val="334155"/>
                <w:sz w:val="19"/>
              </w:rPr>
              <w:t>Biosimilar Switch Map if core flows ship early.</w:t>
            </w:r>
          </w:p>
        </w:tc>
      </w:tr>
    </w:tbl>
    <w:p>
      <w:pPr>
        <w:spacing w:after="40" w:before="0"/>
      </w:pPr>
    </w:p>
    <w:tbl>
      <w:tblPr>
        <w:tblW w:type="auto" w:w="0"/>
        <w:jc w:val="center"/>
        <w:tblLayout w:type="fixed"/>
        <w:tblLook w:firstColumn="1" w:firstRow="1" w:lastColumn="0" w:lastRow="0" w:noHBand="0" w:noVBand="1" w:val="04A0"/>
        <w:tblCellMar>
          <w:top w:w="90" w:type="dxa"/>
          <w:start w:w="120" w:type="dxa"/>
          <w:bottom w:w="90" w:type="dxa"/>
          <w:end w:w="120" w:type="dxa"/>
        </w:tblCellMar>
      </w:tblPr>
      <w:tblGrid>
        <w:gridCol w:w="9994"/>
      </w:tblGrid>
      <w:tr>
        <w:tc>
          <w:tcPr>
            <w:tcW w:type="dxa" w:w="9936"/>
            <w:shd w:fill="FFF7ED"/>
            <w:tcBorders>
              <w:start w:val="single" w:sz="8" w:color="CFE0F5"/>
              <w:top w:val="single" w:sz="8" w:color="CFE0F5"/>
              <w:end w:val="single" w:sz="8" w:color="CFE0F5"/>
              <w:bottom w:val="single" w:sz="8" w:color="CFE0F5"/>
            </w:tcBorders>
            <w:vAlign w:val="center"/>
          </w:tcPr>
          <w:p>
            <w:pPr>
              <w:spacing w:after="40"/>
            </w:pPr>
            <w:r>
              <w:rPr>
                <w:rFonts w:ascii="Arial" w:hAnsi="Arial"/>
                <w:b/>
                <w:color w:val="9A3412"/>
                <w:sz w:val="21"/>
              </w:rPr>
              <w:t>Compliance posture for the demo</w:t>
            </w:r>
          </w:p>
          <w:p>
            <w:pPr>
              <w:spacing w:before="0" w:after="0" w:line="259" w:lineRule="auto"/>
            </w:pPr>
            <w:r>
              <w:rPr>
                <w:rFonts w:ascii="Arial" w:hAnsi="Arial"/>
                <w:color w:val="7C2D12"/>
                <w:sz w:val="20"/>
              </w:rPr>
              <w:t>Do not claim HIPAA compliance for the hackathon MVP. Say that the build uses only public policy documents and synthetic cases, while the architecture is designed to be adaptable to a HIPAA-regulated environment later.</w:t>
            </w:r>
          </w:p>
        </w:tc>
      </w:tr>
    </w:tbl>
    <w:p>
      <w:pPr>
        <w:spacing w:after="60" w:before="0"/>
      </w:pPr>
    </w:p>
    <w:tbl>
      <w:tblPr>
        <w:tblW w:type="auto" w:w="0"/>
        <w:jc w:val="center"/>
        <w:tblLayout w:type="fixed"/>
        <w:tblLook w:firstColumn="1" w:firstRow="1" w:lastColumn="0" w:lastRow="0" w:noHBand="0" w:noVBand="1" w:val="04A0"/>
        <w:tblCellMar>
          <w:top w:w="85" w:type="dxa"/>
          <w:start w:w="100" w:type="dxa"/>
          <w:bottom w:w="85" w:type="dxa"/>
          <w:end w:w="100" w:type="dxa"/>
        </w:tblCellMar>
      </w:tblPr>
      <w:tblGrid>
        <w:gridCol w:w="3331"/>
        <w:gridCol w:w="3331"/>
        <w:gridCol w:w="3331"/>
      </w:tblGrid>
      <w:tr>
        <w:tc>
          <w:tcPr>
            <w:tcW w:type="dxa" w:w="2880"/>
            <w:tcBorders>
              <w:start w:val="single" w:sz="6" w:color="D8E2EC"/>
              <w:top w:val="single" w:sz="6" w:color="D8E2EC"/>
              <w:end w:val="single" w:sz="6" w:color="D8E2EC"/>
              <w:bottom w:val="single" w:sz="6" w:color="D8E2EC"/>
            </w:tcBorders>
            <w:shd w:fill="0F172A"/>
            <w:vAlign w:val="center"/>
          </w:tcPr>
          <w:p>
            <w:pPr>
              <w:spacing w:before="0" w:after="0"/>
              <w:jc w:val="center"/>
            </w:pPr>
            <w:r>
              <w:rPr>
                <w:rFonts w:ascii="Arial" w:hAnsi="Arial"/>
                <w:b/>
                <w:color w:val="FFFFFF"/>
                <w:sz w:val="18"/>
              </w:rPr>
              <w:t>Success test</w:t>
            </w:r>
          </w:p>
        </w:tc>
        <w:tc>
          <w:tcPr>
            <w:tcW w:type="dxa" w:w="4968"/>
            <w:tcBorders>
              <w:start w:val="single" w:sz="6" w:color="D8E2EC"/>
              <w:top w:val="single" w:sz="6" w:color="D8E2EC"/>
              <w:end w:val="single" w:sz="6" w:color="D8E2EC"/>
              <w:bottom w:val="single" w:sz="6" w:color="D8E2EC"/>
            </w:tcBorders>
            <w:shd w:fill="0F172A"/>
            <w:vAlign w:val="center"/>
          </w:tcPr>
          <w:p>
            <w:pPr>
              <w:spacing w:before="0" w:after="0"/>
              <w:jc w:val="center"/>
            </w:pPr>
            <w:r>
              <w:rPr>
                <w:rFonts w:ascii="Arial" w:hAnsi="Arial"/>
                <w:b/>
                <w:color w:val="FFFFFF"/>
                <w:sz w:val="18"/>
              </w:rPr>
              <w:t>What the judge should see</w:t>
            </w:r>
          </w:p>
        </w:tc>
        <w:tc>
          <w:tcPr>
            <w:tcW w:type="dxa" w:w="2088"/>
            <w:tcBorders>
              <w:start w:val="single" w:sz="6" w:color="D8E2EC"/>
              <w:top w:val="single" w:sz="6" w:color="D8E2EC"/>
              <w:end w:val="single" w:sz="6" w:color="D8E2EC"/>
              <w:bottom w:val="single" w:sz="6" w:color="D8E2EC"/>
            </w:tcBorders>
            <w:shd w:fill="0F172A"/>
            <w:vAlign w:val="center"/>
          </w:tcPr>
          <w:p>
            <w:pPr>
              <w:spacing w:before="0" w:after="0"/>
              <w:jc w:val="center"/>
            </w:pPr>
            <w:r>
              <w:rPr>
                <w:rFonts w:ascii="Arial" w:hAnsi="Arial"/>
                <w:b/>
                <w:color w:val="FFFFFF"/>
                <w:sz w:val="18"/>
              </w:rPr>
              <w:t>Priority</w:t>
            </w:r>
          </w:p>
        </w:tc>
      </w:tr>
      <w:tr>
        <w:tc>
          <w:tcPr>
            <w:tcW w:type="dxa" w:w="2880"/>
            <w:tcBorders>
              <w:start w:val="single" w:sz="6" w:color="D8E2EC"/>
              <w:top w:val="single" w:sz="6" w:color="D8E2EC"/>
              <w:end w:val="single" w:sz="6" w:color="D8E2EC"/>
              <w:bottom w:val="single" w:sz="6" w:color="D8E2EC"/>
            </w:tcBorders>
            <w:vAlign w:val="center"/>
          </w:tcPr>
          <w:p>
            <w:pPr>
              <w:spacing w:after="0"/>
              <w:jc w:val="left"/>
            </w:pPr>
            <w:r>
              <w:rPr>
                <w:rFonts w:ascii="Arial" w:hAnsi="Arial"/>
                <w:color w:val="334155"/>
                <w:sz w:val="19"/>
              </w:rPr>
              <w:t>Coverage query</w:t>
            </w:r>
          </w:p>
        </w:tc>
        <w:tc>
          <w:tcPr>
            <w:tcW w:type="dxa" w:w="4968"/>
            <w:tcBorders>
              <w:start w:val="single" w:sz="6" w:color="D8E2EC"/>
              <w:top w:val="single" w:sz="6" w:color="D8E2EC"/>
              <w:end w:val="single" w:sz="6" w:color="D8E2EC"/>
              <w:bottom w:val="single" w:sz="6" w:color="D8E2EC"/>
            </w:tcBorders>
            <w:vAlign w:val="center"/>
          </w:tcPr>
          <w:p>
            <w:pPr>
              <w:spacing w:after="0"/>
              <w:jc w:val="left"/>
            </w:pPr>
            <w:r>
              <w:rPr>
                <w:rFonts w:ascii="Arial" w:hAnsi="Arial"/>
                <w:color w:val="334155"/>
                <w:sz w:val="19"/>
              </w:rPr>
              <w:t>A drug query instantly shows which plans cover it, under what conditions, with visible citations.</w:t>
            </w:r>
          </w:p>
        </w:tc>
        <w:tc>
          <w:tcPr>
            <w:tcW w:type="dxa" w:w="2088"/>
            <w:tcBorders>
              <w:start w:val="single" w:sz="6" w:color="D8E2EC"/>
              <w:top w:val="single" w:sz="6" w:color="D8E2EC"/>
              <w:end w:val="single" w:sz="6" w:color="D8E2EC"/>
              <w:bottom w:val="single" w:sz="6" w:color="D8E2EC"/>
            </w:tcBorders>
            <w:vAlign w:val="center"/>
            <w:shd w:fill="ECFDF5"/>
          </w:tcPr>
          <w:p>
            <w:pPr>
              <w:spacing w:after="0"/>
              <w:jc w:val="center"/>
            </w:pPr>
            <w:r>
              <w:rPr>
                <w:rFonts w:ascii="Arial" w:hAnsi="Arial"/>
                <w:b/>
                <w:color w:val="065F46"/>
                <w:sz w:val="19"/>
              </w:rPr>
              <w:t>Must</w:t>
            </w:r>
          </w:p>
        </w:tc>
      </w:tr>
      <w:tr>
        <w:tc>
          <w:tcPr>
            <w:tcW w:type="dxa" w:w="2880"/>
            <w:tcBorders>
              <w:start w:val="single" w:sz="6" w:color="D8E2EC"/>
              <w:top w:val="single" w:sz="6" w:color="D8E2EC"/>
              <w:end w:val="single" w:sz="6" w:color="D8E2EC"/>
              <w:bottom w:val="single" w:sz="6" w:color="D8E2EC"/>
            </w:tcBorders>
            <w:vAlign w:val="center"/>
          </w:tcPr>
          <w:p>
            <w:pPr>
              <w:spacing w:after="0"/>
              <w:jc w:val="left"/>
            </w:pPr>
            <w:r>
              <w:rPr>
                <w:rFonts w:ascii="Arial" w:hAnsi="Arial"/>
                <w:color w:val="334155"/>
                <w:sz w:val="19"/>
              </w:rPr>
              <w:t>Case simulation</w:t>
            </w:r>
          </w:p>
        </w:tc>
        <w:tc>
          <w:tcPr>
            <w:tcW w:type="dxa" w:w="4968"/>
            <w:tcBorders>
              <w:start w:val="single" w:sz="6" w:color="D8E2EC"/>
              <w:top w:val="single" w:sz="6" w:color="D8E2EC"/>
              <w:end w:val="single" w:sz="6" w:color="D8E2EC"/>
              <w:bottom w:val="single" w:sz="6" w:color="D8E2EC"/>
            </w:tcBorders>
            <w:vAlign w:val="center"/>
          </w:tcPr>
          <w:p>
            <w:pPr>
              <w:spacing w:after="0"/>
              <w:jc w:val="left"/>
            </w:pPr>
            <w:r>
              <w:rPr>
                <w:rFonts w:ascii="Arial" w:hAnsi="Arial"/>
                <w:color w:val="334155"/>
                <w:sz w:val="19"/>
              </w:rPr>
              <w:t>A synthetic case reveals blockers, missing evidence, and the fastest likely approvable path.</w:t>
            </w:r>
          </w:p>
        </w:tc>
        <w:tc>
          <w:tcPr>
            <w:tcW w:type="dxa" w:w="2088"/>
            <w:tcBorders>
              <w:start w:val="single" w:sz="6" w:color="D8E2EC"/>
              <w:top w:val="single" w:sz="6" w:color="D8E2EC"/>
              <w:end w:val="single" w:sz="6" w:color="D8E2EC"/>
              <w:bottom w:val="single" w:sz="6" w:color="D8E2EC"/>
            </w:tcBorders>
            <w:vAlign w:val="center"/>
            <w:shd w:fill="ECFDF5"/>
          </w:tcPr>
          <w:p>
            <w:pPr>
              <w:spacing w:after="0"/>
              <w:jc w:val="center"/>
            </w:pPr>
            <w:r>
              <w:rPr>
                <w:rFonts w:ascii="Arial" w:hAnsi="Arial"/>
                <w:b/>
                <w:color w:val="065F46"/>
                <w:sz w:val="19"/>
              </w:rPr>
              <w:t>Must</w:t>
            </w:r>
          </w:p>
        </w:tc>
      </w:tr>
      <w:tr>
        <w:tc>
          <w:tcPr>
            <w:tcW w:type="dxa" w:w="2880"/>
            <w:tcBorders>
              <w:start w:val="single" w:sz="6" w:color="D8E2EC"/>
              <w:top w:val="single" w:sz="6" w:color="D8E2EC"/>
              <w:end w:val="single" w:sz="6" w:color="D8E2EC"/>
              <w:bottom w:val="single" w:sz="6" w:color="D8E2EC"/>
            </w:tcBorders>
            <w:vAlign w:val="center"/>
          </w:tcPr>
          <w:p>
            <w:pPr>
              <w:spacing w:after="0"/>
              <w:jc w:val="left"/>
            </w:pPr>
            <w:r>
              <w:rPr>
                <w:rFonts w:ascii="Arial" w:hAnsi="Arial"/>
                <w:color w:val="334155"/>
                <w:sz w:val="19"/>
              </w:rPr>
              <w:t>Version change</w:t>
            </w:r>
          </w:p>
        </w:tc>
        <w:tc>
          <w:tcPr>
            <w:tcW w:type="dxa" w:w="4968"/>
            <w:tcBorders>
              <w:start w:val="single" w:sz="6" w:color="D8E2EC"/>
              <w:top w:val="single" w:sz="6" w:color="D8E2EC"/>
              <w:end w:val="single" w:sz="6" w:color="D8E2EC"/>
              <w:bottom w:val="single" w:sz="6" w:color="D8E2EC"/>
            </w:tcBorders>
            <w:vAlign w:val="center"/>
          </w:tcPr>
          <w:p>
            <w:pPr>
              <w:spacing w:after="0"/>
              <w:jc w:val="left"/>
            </w:pPr>
            <w:r>
              <w:rPr>
                <w:rFonts w:ascii="Arial" w:hAnsi="Arial"/>
                <w:color w:val="334155"/>
                <w:sz w:val="19"/>
              </w:rPr>
              <w:t>A quarter-over-quarter view labels a policy as tightened, loosened, or unchanged.</w:t>
            </w:r>
          </w:p>
        </w:tc>
        <w:tc>
          <w:tcPr>
            <w:tcW w:type="dxa" w:w="2088"/>
            <w:tcBorders>
              <w:start w:val="single" w:sz="6" w:color="D8E2EC"/>
              <w:top w:val="single" w:sz="6" w:color="D8E2EC"/>
              <w:end w:val="single" w:sz="6" w:color="D8E2EC"/>
              <w:bottom w:val="single" w:sz="6" w:color="D8E2EC"/>
            </w:tcBorders>
            <w:vAlign w:val="center"/>
            <w:shd w:fill="ECFDF5"/>
          </w:tcPr>
          <w:p>
            <w:pPr>
              <w:spacing w:after="0"/>
              <w:jc w:val="center"/>
            </w:pPr>
            <w:r>
              <w:rPr>
                <w:rFonts w:ascii="Arial" w:hAnsi="Arial"/>
                <w:b/>
                <w:color w:val="065F46"/>
                <w:sz w:val="19"/>
              </w:rPr>
              <w:t>Must</w:t>
            </w:r>
          </w:p>
        </w:tc>
      </w:tr>
    </w:tbl>
    <w:p>
      <w:r>
        <w:br w:type="page"/>
      </w:r>
    </w:p>
    <w:p>
      <w:pPr>
        <w:pStyle w:val="Heading1"/>
        <w:spacing w:before="0" w:after="80" w:line="259" w:lineRule="auto"/>
      </w:pPr>
      <w:r>
        <w:rPr>
          <w:rFonts w:ascii="Arial" w:hAnsi="Arial"/>
          <w:b w:val="0"/>
          <w:color w:val="334155"/>
          <w:sz w:val="21"/>
        </w:rPr>
        <w:t>2. 48-hour sprint roadmap</w:t>
      </w:r>
    </w:p>
    <w:p>
      <w:pPr>
        <w:spacing w:before="0" w:after="120" w:line="259" w:lineRule="auto"/>
      </w:pPr>
      <w:r>
        <w:rPr>
          <w:rFonts w:ascii="Arial" w:hAnsi="Arial"/>
          <w:b w:val="0"/>
          <w:color w:val="334155"/>
          <w:sz w:val="21"/>
        </w:rPr>
        <w:t>The sprint plan below is optimized for a hackathon team. It front-loads data risk, forces visible milestones by hour 26, and protects demo time at the end.</w:t>
      </w:r>
    </w:p>
    <w:tbl>
      <w:tblPr>
        <w:tblW w:type="auto" w:w="0"/>
        <w:jc w:val="center"/>
        <w:tblLayout w:type="fixed"/>
        <w:tblLook w:firstColumn="1" w:firstRow="1" w:lastColumn="0" w:lastRow="0" w:noHBand="0" w:noVBand="1" w:val="04A0"/>
        <w:tblCellMar>
          <w:top w:w="60" w:type="dxa"/>
          <w:start w:w="60" w:type="dxa"/>
          <w:bottom w:w="60" w:type="dxa"/>
          <w:end w:w="60" w:type="dxa"/>
        </w:tblCellMar>
      </w:tblPr>
      <w:tblGrid>
        <w:gridCol w:w="1249"/>
        <w:gridCol w:w="1249"/>
        <w:gridCol w:w="1249"/>
        <w:gridCol w:w="1249"/>
        <w:gridCol w:w="1249"/>
        <w:gridCol w:w="1249"/>
        <w:gridCol w:w="1249"/>
        <w:gridCol w:w="1249"/>
      </w:tblGrid>
      <w:tr>
        <w:tc>
          <w:tcPr>
            <w:tcW w:type="dxa" w:w="1238"/>
            <w:shd w:fill="0F172A"/>
            <w:tcBorders>
              <w:start w:val="nil"/>
              <w:top w:val="nil"/>
              <w:end w:val="nil"/>
              <w:bottom w:val="nil"/>
            </w:tcBorders>
          </w:tcPr>
          <w:p>
            <w:pPr>
              <w:spacing w:after="0"/>
              <w:jc w:val="center"/>
            </w:pPr>
            <w:r>
              <w:rPr>
                <w:rFonts w:ascii="Arial" w:hAnsi="Arial"/>
                <w:b/>
                <w:color w:val="FFFFFF"/>
                <w:sz w:val="20"/>
              </w:rPr>
              <w:t>S0</w:t>
            </w:r>
          </w:p>
        </w:tc>
        <w:tc>
          <w:tcPr>
            <w:tcW w:type="dxa" w:w="1238"/>
            <w:shd w:fill="1E3A8A"/>
            <w:tcBorders>
              <w:start w:val="nil"/>
              <w:top w:val="nil"/>
              <w:end w:val="nil"/>
              <w:bottom w:val="nil"/>
            </w:tcBorders>
          </w:tcPr>
          <w:p>
            <w:pPr>
              <w:spacing w:after="0"/>
              <w:jc w:val="center"/>
            </w:pPr>
            <w:r>
              <w:rPr>
                <w:rFonts w:ascii="Arial" w:hAnsi="Arial"/>
                <w:b/>
                <w:color w:val="FFFFFF"/>
                <w:sz w:val="20"/>
              </w:rPr>
              <w:t>S1</w:t>
            </w:r>
          </w:p>
        </w:tc>
        <w:tc>
          <w:tcPr>
            <w:tcW w:type="dxa" w:w="1238"/>
            <w:shd w:fill="0369A1"/>
            <w:tcBorders>
              <w:start w:val="nil"/>
              <w:top w:val="nil"/>
              <w:end w:val="nil"/>
              <w:bottom w:val="nil"/>
            </w:tcBorders>
          </w:tcPr>
          <w:p>
            <w:pPr>
              <w:spacing w:after="0"/>
              <w:jc w:val="center"/>
            </w:pPr>
            <w:r>
              <w:rPr>
                <w:rFonts w:ascii="Arial" w:hAnsi="Arial"/>
                <w:b/>
                <w:color w:val="FFFFFF"/>
                <w:sz w:val="20"/>
              </w:rPr>
              <w:t>S2</w:t>
            </w:r>
          </w:p>
        </w:tc>
        <w:tc>
          <w:tcPr>
            <w:tcW w:type="dxa" w:w="1238"/>
            <w:shd w:fill="0891B2"/>
            <w:tcBorders>
              <w:start w:val="nil"/>
              <w:top w:val="nil"/>
              <w:end w:val="nil"/>
              <w:bottom w:val="nil"/>
            </w:tcBorders>
          </w:tcPr>
          <w:p>
            <w:pPr>
              <w:spacing w:after="0"/>
              <w:jc w:val="center"/>
            </w:pPr>
            <w:r>
              <w:rPr>
                <w:rFonts w:ascii="Arial" w:hAnsi="Arial"/>
                <w:b/>
                <w:color w:val="FFFFFF"/>
                <w:sz w:val="20"/>
              </w:rPr>
              <w:t>S3</w:t>
            </w:r>
          </w:p>
        </w:tc>
        <w:tc>
          <w:tcPr>
            <w:tcW w:type="dxa" w:w="1238"/>
            <w:shd w:fill="2563EB"/>
            <w:tcBorders>
              <w:start w:val="nil"/>
              <w:top w:val="nil"/>
              <w:end w:val="nil"/>
              <w:bottom w:val="nil"/>
            </w:tcBorders>
          </w:tcPr>
          <w:p>
            <w:pPr>
              <w:spacing w:after="0"/>
              <w:jc w:val="center"/>
            </w:pPr>
            <w:r>
              <w:rPr>
                <w:rFonts w:ascii="Arial" w:hAnsi="Arial"/>
                <w:b/>
                <w:color w:val="FFFFFF"/>
                <w:sz w:val="20"/>
              </w:rPr>
              <w:t>S4</w:t>
            </w:r>
          </w:p>
        </w:tc>
        <w:tc>
          <w:tcPr>
            <w:tcW w:type="dxa" w:w="1238"/>
            <w:shd w:fill="7C3AED"/>
            <w:tcBorders>
              <w:start w:val="nil"/>
              <w:top w:val="nil"/>
              <w:end w:val="nil"/>
              <w:bottom w:val="nil"/>
            </w:tcBorders>
          </w:tcPr>
          <w:p>
            <w:pPr>
              <w:spacing w:after="0"/>
              <w:jc w:val="center"/>
            </w:pPr>
            <w:r>
              <w:rPr>
                <w:rFonts w:ascii="Arial" w:hAnsi="Arial"/>
                <w:b/>
                <w:color w:val="FFFFFF"/>
                <w:sz w:val="20"/>
              </w:rPr>
              <w:t>S5</w:t>
            </w:r>
          </w:p>
        </w:tc>
        <w:tc>
          <w:tcPr>
            <w:tcW w:type="dxa" w:w="1238"/>
            <w:shd w:fill="0F766E"/>
            <w:tcBorders>
              <w:start w:val="nil"/>
              <w:top w:val="nil"/>
              <w:end w:val="nil"/>
              <w:bottom w:val="nil"/>
            </w:tcBorders>
          </w:tcPr>
          <w:p>
            <w:pPr>
              <w:spacing w:after="0"/>
              <w:jc w:val="center"/>
            </w:pPr>
            <w:r>
              <w:rPr>
                <w:rFonts w:ascii="Arial" w:hAnsi="Arial"/>
                <w:b/>
                <w:color w:val="FFFFFF"/>
                <w:sz w:val="20"/>
              </w:rPr>
              <w:t>S6</w:t>
            </w:r>
          </w:p>
        </w:tc>
        <w:tc>
          <w:tcPr>
            <w:tcW w:type="dxa" w:w="1238"/>
            <w:shd w:fill="334155"/>
            <w:tcBorders>
              <w:start w:val="nil"/>
              <w:top w:val="nil"/>
              <w:end w:val="nil"/>
              <w:bottom w:val="nil"/>
            </w:tcBorders>
          </w:tcPr>
          <w:p>
            <w:pPr>
              <w:spacing w:after="0"/>
              <w:jc w:val="center"/>
            </w:pPr>
            <w:r>
              <w:rPr>
                <w:rFonts w:ascii="Arial" w:hAnsi="Arial"/>
                <w:b/>
                <w:color w:val="FFFFFF"/>
                <w:sz w:val="20"/>
              </w:rPr>
              <w:t>S7</w:t>
            </w:r>
          </w:p>
        </w:tc>
      </w:tr>
    </w:tbl>
    <w:p>
      <w:pPr>
        <w:spacing w:after="60" w:before="0"/>
      </w:pPr>
    </w:p>
    <w:tbl>
      <w:tblPr>
        <w:tblW w:type="auto" w:w="0"/>
        <w:jc w:val="center"/>
        <w:tblLayout w:type="fixed"/>
        <w:tblLook w:firstColumn="1" w:firstRow="1" w:lastColumn="0" w:lastRow="0" w:noHBand="0" w:noVBand="1" w:val="04A0"/>
        <w:tblCellMar>
          <w:top w:w="80" w:type="dxa"/>
          <w:start w:w="95" w:type="dxa"/>
          <w:bottom w:w="80" w:type="dxa"/>
          <w:end w:w="95" w:type="dxa"/>
        </w:tblCellMar>
      </w:tblPr>
      <w:tblGrid>
        <w:gridCol w:w="2498"/>
        <w:gridCol w:w="2498"/>
        <w:gridCol w:w="2498"/>
        <w:gridCol w:w="2498"/>
      </w:tblGrid>
      <w:tr>
        <w:tc>
          <w:tcPr>
            <w:tcW w:type="dxa" w:w="1440"/>
            <w:tcBorders>
              <w:start w:val="single" w:sz="6" w:color="D8E2EC"/>
              <w:top w:val="single" w:sz="6" w:color="D8E2EC"/>
              <w:end w:val="single" w:sz="6" w:color="D8E2EC"/>
              <w:bottom w:val="single" w:sz="6" w:color="D8E2EC"/>
            </w:tcBorders>
            <w:shd w:fill="0F172A"/>
            <w:vAlign w:val="center"/>
          </w:tcPr>
          <w:p>
            <w:pPr>
              <w:spacing w:before="0" w:after="0"/>
              <w:jc w:val="center"/>
            </w:pPr>
            <w:r>
              <w:rPr>
                <w:rFonts w:ascii="Arial" w:hAnsi="Arial"/>
                <w:b/>
                <w:color w:val="FFFFFF"/>
                <w:sz w:val="18"/>
              </w:rPr>
              <w:t>Sprint</w:t>
            </w:r>
          </w:p>
        </w:tc>
        <w:tc>
          <w:tcPr>
            <w:tcW w:type="dxa" w:w="1512"/>
            <w:tcBorders>
              <w:start w:val="single" w:sz="6" w:color="D8E2EC"/>
              <w:top w:val="single" w:sz="6" w:color="D8E2EC"/>
              <w:end w:val="single" w:sz="6" w:color="D8E2EC"/>
              <w:bottom w:val="single" w:sz="6" w:color="D8E2EC"/>
            </w:tcBorders>
            <w:shd w:fill="0F172A"/>
            <w:vAlign w:val="center"/>
          </w:tcPr>
          <w:p>
            <w:pPr>
              <w:spacing w:before="0" w:after="0"/>
              <w:jc w:val="center"/>
            </w:pPr>
            <w:r>
              <w:rPr>
                <w:rFonts w:ascii="Arial" w:hAnsi="Arial"/>
                <w:b/>
                <w:color w:val="FFFFFF"/>
                <w:sz w:val="18"/>
              </w:rPr>
              <w:t>Hours</w:t>
            </w:r>
          </w:p>
        </w:tc>
        <w:tc>
          <w:tcPr>
            <w:tcW w:type="dxa" w:w="5688"/>
            <w:tcBorders>
              <w:start w:val="single" w:sz="6" w:color="D8E2EC"/>
              <w:top w:val="single" w:sz="6" w:color="D8E2EC"/>
              <w:end w:val="single" w:sz="6" w:color="D8E2EC"/>
              <w:bottom w:val="single" w:sz="6" w:color="D8E2EC"/>
            </w:tcBorders>
            <w:shd w:fill="0F172A"/>
            <w:vAlign w:val="center"/>
          </w:tcPr>
          <w:p>
            <w:pPr>
              <w:spacing w:before="0" w:after="0"/>
              <w:jc w:val="center"/>
            </w:pPr>
            <w:r>
              <w:rPr>
                <w:rFonts w:ascii="Arial" w:hAnsi="Arial"/>
                <w:b/>
                <w:color w:val="FFFFFF"/>
                <w:sz w:val="18"/>
              </w:rPr>
              <w:t>Outcome</w:t>
            </w:r>
          </w:p>
        </w:tc>
        <w:tc>
          <w:tcPr>
            <w:tcW w:type="dxa" w:w="1296"/>
            <w:tcBorders>
              <w:start w:val="single" w:sz="6" w:color="D8E2EC"/>
              <w:top w:val="single" w:sz="6" w:color="D8E2EC"/>
              <w:end w:val="single" w:sz="6" w:color="D8E2EC"/>
              <w:bottom w:val="single" w:sz="6" w:color="D8E2EC"/>
            </w:tcBorders>
            <w:shd w:fill="0F172A"/>
            <w:vAlign w:val="center"/>
          </w:tcPr>
          <w:p>
            <w:pPr>
              <w:spacing w:before="0" w:after="0"/>
              <w:jc w:val="center"/>
            </w:pPr>
            <w:r>
              <w:rPr>
                <w:rFonts w:ascii="Arial" w:hAnsi="Arial"/>
                <w:b/>
                <w:color w:val="FFFFFF"/>
                <w:sz w:val="18"/>
              </w:rPr>
              <w:t>Gate</w:t>
            </w:r>
          </w:p>
        </w:tc>
      </w:tr>
      <w:tr>
        <w:tc>
          <w:tcPr>
            <w:tcW w:type="dxa" w:w="1440"/>
            <w:tcBorders>
              <w:start w:val="single" w:sz="6" w:color="D8E2EC"/>
              <w:top w:val="single" w:sz="6" w:color="D8E2EC"/>
              <w:end w:val="single" w:sz="6" w:color="D8E2EC"/>
              <w:bottom w:val="single" w:sz="6" w:color="D8E2EC"/>
            </w:tcBorders>
            <w:vAlign w:val="center"/>
            <w:shd w:fill="F8FAFC"/>
          </w:tcPr>
          <w:p>
            <w:pPr>
              <w:spacing w:after="0"/>
              <w:jc w:val="center"/>
            </w:pPr>
            <w:r>
              <w:rPr>
                <w:rFonts w:ascii="Arial" w:hAnsi="Arial"/>
                <w:b/>
                <w:color w:val="334155"/>
                <w:sz w:val="18"/>
              </w:rPr>
              <w:t>S0</w:t>
            </w:r>
          </w:p>
        </w:tc>
        <w:tc>
          <w:tcPr>
            <w:tcW w:type="dxa" w:w="1512"/>
            <w:tcBorders>
              <w:start w:val="single" w:sz="6" w:color="D8E2EC"/>
              <w:top w:val="single" w:sz="6" w:color="D8E2EC"/>
              <w:end w:val="single" w:sz="6" w:color="D8E2EC"/>
              <w:bottom w:val="single" w:sz="6" w:color="D8E2EC"/>
            </w:tcBorders>
            <w:vAlign w:val="center"/>
          </w:tcPr>
          <w:p>
            <w:pPr>
              <w:spacing w:after="0"/>
              <w:jc w:val="center"/>
            </w:pPr>
            <w:r>
              <w:rPr>
                <w:rFonts w:ascii="Arial" w:hAnsi="Arial"/>
                <w:b w:val="0"/>
                <w:color w:val="334155"/>
                <w:sz w:val="18"/>
              </w:rPr>
              <w:t>0-3</w:t>
            </w:r>
          </w:p>
        </w:tc>
        <w:tc>
          <w:tcPr>
            <w:tcW w:type="dxa" w:w="5688"/>
            <w:tcBorders>
              <w:start w:val="single" w:sz="6" w:color="D8E2EC"/>
              <w:top w:val="single" w:sz="6" w:color="D8E2EC"/>
              <w:end w:val="single" w:sz="6" w:color="D8E2EC"/>
              <w:bottom w:val="single" w:sz="6" w:color="D8E2EC"/>
            </w:tcBorders>
            <w:vAlign w:val="center"/>
          </w:tcPr>
          <w:p>
            <w:pPr>
              <w:spacing w:after="0"/>
              <w:jc w:val="left"/>
            </w:pPr>
            <w:r>
              <w:rPr>
                <w:rFonts w:ascii="Arial" w:hAnsi="Arial"/>
                <w:b w:val="0"/>
                <w:color w:val="334155"/>
                <w:sz w:val="18"/>
              </w:rPr>
              <w:t>Lock scope, repo, schema, source manifest, and wireframes.</w:t>
            </w:r>
          </w:p>
        </w:tc>
        <w:tc>
          <w:tcPr>
            <w:tcW w:type="dxa" w:w="1296"/>
            <w:tcBorders>
              <w:start w:val="single" w:sz="6" w:color="D8E2EC"/>
              <w:top w:val="single" w:sz="6" w:color="D8E2EC"/>
              <w:end w:val="single" w:sz="6" w:color="D8E2EC"/>
              <w:bottom w:val="single" w:sz="6" w:color="D8E2EC"/>
            </w:tcBorders>
            <w:vAlign w:val="center"/>
          </w:tcPr>
          <w:p>
            <w:pPr>
              <w:spacing w:after="0"/>
              <w:jc w:val="center"/>
            </w:pPr>
            <w:r>
              <w:rPr>
                <w:rFonts w:ascii="Arial" w:hAnsi="Arial"/>
                <w:b w:val="0"/>
                <w:color w:val="334155"/>
                <w:sz w:val="18"/>
              </w:rPr>
              <w:t>Start</w:t>
            </w:r>
          </w:p>
        </w:tc>
      </w:tr>
      <w:tr>
        <w:tc>
          <w:tcPr>
            <w:tcW w:type="dxa" w:w="1440"/>
            <w:tcBorders>
              <w:start w:val="single" w:sz="6" w:color="D8E2EC"/>
              <w:top w:val="single" w:sz="6" w:color="D8E2EC"/>
              <w:end w:val="single" w:sz="6" w:color="D8E2EC"/>
              <w:bottom w:val="single" w:sz="6" w:color="D8E2EC"/>
            </w:tcBorders>
            <w:vAlign w:val="center"/>
            <w:shd w:fill="F8FAFC"/>
          </w:tcPr>
          <w:p>
            <w:pPr>
              <w:spacing w:after="0"/>
              <w:jc w:val="center"/>
            </w:pPr>
            <w:r>
              <w:rPr>
                <w:rFonts w:ascii="Arial" w:hAnsi="Arial"/>
                <w:b/>
                <w:color w:val="334155"/>
                <w:sz w:val="18"/>
              </w:rPr>
              <w:t>S1</w:t>
            </w:r>
          </w:p>
        </w:tc>
        <w:tc>
          <w:tcPr>
            <w:tcW w:type="dxa" w:w="1512"/>
            <w:tcBorders>
              <w:start w:val="single" w:sz="6" w:color="D8E2EC"/>
              <w:top w:val="single" w:sz="6" w:color="D8E2EC"/>
              <w:end w:val="single" w:sz="6" w:color="D8E2EC"/>
              <w:bottom w:val="single" w:sz="6" w:color="D8E2EC"/>
            </w:tcBorders>
            <w:vAlign w:val="center"/>
          </w:tcPr>
          <w:p>
            <w:pPr>
              <w:spacing w:after="0"/>
              <w:jc w:val="center"/>
            </w:pPr>
            <w:r>
              <w:rPr>
                <w:rFonts w:ascii="Arial" w:hAnsi="Arial"/>
                <w:b w:val="0"/>
                <w:color w:val="334155"/>
                <w:sz w:val="18"/>
              </w:rPr>
              <w:t>3-10</w:t>
            </w:r>
          </w:p>
        </w:tc>
        <w:tc>
          <w:tcPr>
            <w:tcW w:type="dxa" w:w="5688"/>
            <w:tcBorders>
              <w:start w:val="single" w:sz="6" w:color="D8E2EC"/>
              <w:top w:val="single" w:sz="6" w:color="D8E2EC"/>
              <w:end w:val="single" w:sz="6" w:color="D8E2EC"/>
              <w:bottom w:val="single" w:sz="6" w:color="D8E2EC"/>
            </w:tcBorders>
            <w:vAlign w:val="center"/>
          </w:tcPr>
          <w:p>
            <w:pPr>
              <w:spacing w:after="0"/>
              <w:jc w:val="left"/>
            </w:pPr>
            <w:r>
              <w:rPr>
                <w:rFonts w:ascii="Arial" w:hAnsi="Arial"/>
                <w:b w:val="0"/>
                <w:color w:val="334155"/>
                <w:sz w:val="18"/>
              </w:rPr>
              <w:t>Capture and parse payer policy documents with source traceability.</w:t>
            </w:r>
          </w:p>
        </w:tc>
        <w:tc>
          <w:tcPr>
            <w:tcW w:type="dxa" w:w="1296"/>
            <w:tcBorders>
              <w:start w:val="single" w:sz="6" w:color="D8E2EC"/>
              <w:top w:val="single" w:sz="6" w:color="D8E2EC"/>
              <w:end w:val="single" w:sz="6" w:color="D8E2EC"/>
              <w:bottom w:val="single" w:sz="6" w:color="D8E2EC"/>
            </w:tcBorders>
            <w:vAlign w:val="center"/>
          </w:tcPr>
          <w:p>
            <w:pPr>
              <w:spacing w:after="0"/>
              <w:jc w:val="center"/>
            </w:pPr>
            <w:r>
              <w:rPr>
                <w:rFonts w:ascii="Arial" w:hAnsi="Arial"/>
                <w:b w:val="0"/>
                <w:color w:val="334155"/>
                <w:sz w:val="18"/>
              </w:rPr>
              <w:t>h10</w:t>
            </w:r>
          </w:p>
        </w:tc>
      </w:tr>
      <w:tr>
        <w:tc>
          <w:tcPr>
            <w:tcW w:type="dxa" w:w="1440"/>
            <w:tcBorders>
              <w:start w:val="single" w:sz="6" w:color="D8E2EC"/>
              <w:top w:val="single" w:sz="6" w:color="D8E2EC"/>
              <w:end w:val="single" w:sz="6" w:color="D8E2EC"/>
              <w:bottom w:val="single" w:sz="6" w:color="D8E2EC"/>
            </w:tcBorders>
            <w:vAlign w:val="center"/>
            <w:shd w:fill="F8FAFC"/>
          </w:tcPr>
          <w:p>
            <w:pPr>
              <w:spacing w:after="0"/>
              <w:jc w:val="center"/>
            </w:pPr>
            <w:r>
              <w:rPr>
                <w:rFonts w:ascii="Arial" w:hAnsi="Arial"/>
                <w:b/>
                <w:color w:val="334155"/>
                <w:sz w:val="18"/>
              </w:rPr>
              <w:t>S2</w:t>
            </w:r>
          </w:p>
        </w:tc>
        <w:tc>
          <w:tcPr>
            <w:tcW w:type="dxa" w:w="1512"/>
            <w:tcBorders>
              <w:start w:val="single" w:sz="6" w:color="D8E2EC"/>
              <w:top w:val="single" w:sz="6" w:color="D8E2EC"/>
              <w:end w:val="single" w:sz="6" w:color="D8E2EC"/>
              <w:bottom w:val="single" w:sz="6" w:color="D8E2EC"/>
            </w:tcBorders>
            <w:vAlign w:val="center"/>
          </w:tcPr>
          <w:p>
            <w:pPr>
              <w:spacing w:after="0"/>
              <w:jc w:val="center"/>
            </w:pPr>
            <w:r>
              <w:rPr>
                <w:rFonts w:ascii="Arial" w:hAnsi="Arial"/>
                <w:b w:val="0"/>
                <w:color w:val="334155"/>
                <w:sz w:val="18"/>
              </w:rPr>
              <w:t>10-18</w:t>
            </w:r>
          </w:p>
        </w:tc>
        <w:tc>
          <w:tcPr>
            <w:tcW w:type="dxa" w:w="5688"/>
            <w:tcBorders>
              <w:start w:val="single" w:sz="6" w:color="D8E2EC"/>
              <w:top w:val="single" w:sz="6" w:color="D8E2EC"/>
              <w:end w:val="single" w:sz="6" w:color="D8E2EC"/>
              <w:bottom w:val="single" w:sz="6" w:color="D8E2EC"/>
            </w:tcBorders>
            <w:vAlign w:val="center"/>
          </w:tcPr>
          <w:p>
            <w:pPr>
              <w:spacing w:after="0"/>
              <w:jc w:val="left"/>
            </w:pPr>
            <w:r>
              <w:rPr>
                <w:rFonts w:ascii="Arial" w:hAnsi="Arial"/>
                <w:b w:val="0"/>
                <w:color w:val="334155"/>
                <w:sz w:val="18"/>
              </w:rPr>
              <w:t>Normalize policies into Policy DNA with drug and code mapping.</w:t>
            </w:r>
          </w:p>
        </w:tc>
        <w:tc>
          <w:tcPr>
            <w:tcW w:type="dxa" w:w="1296"/>
            <w:tcBorders>
              <w:start w:val="single" w:sz="6" w:color="D8E2EC"/>
              <w:top w:val="single" w:sz="6" w:color="D8E2EC"/>
              <w:end w:val="single" w:sz="6" w:color="D8E2EC"/>
              <w:bottom w:val="single" w:sz="6" w:color="D8E2EC"/>
            </w:tcBorders>
            <w:vAlign w:val="center"/>
          </w:tcPr>
          <w:p>
            <w:pPr>
              <w:spacing w:after="0"/>
              <w:jc w:val="center"/>
            </w:pPr>
            <w:r>
              <w:rPr>
                <w:rFonts w:ascii="Arial" w:hAnsi="Arial"/>
                <w:b w:val="0"/>
                <w:color w:val="334155"/>
                <w:sz w:val="18"/>
              </w:rPr>
              <w:t>h18</w:t>
            </w:r>
          </w:p>
        </w:tc>
      </w:tr>
      <w:tr>
        <w:tc>
          <w:tcPr>
            <w:tcW w:type="dxa" w:w="1440"/>
            <w:tcBorders>
              <w:start w:val="single" w:sz="6" w:color="D8E2EC"/>
              <w:top w:val="single" w:sz="6" w:color="D8E2EC"/>
              <w:end w:val="single" w:sz="6" w:color="D8E2EC"/>
              <w:bottom w:val="single" w:sz="6" w:color="D8E2EC"/>
            </w:tcBorders>
            <w:vAlign w:val="center"/>
            <w:shd w:fill="F8FAFC"/>
          </w:tcPr>
          <w:p>
            <w:pPr>
              <w:spacing w:after="0"/>
              <w:jc w:val="center"/>
            </w:pPr>
            <w:r>
              <w:rPr>
                <w:rFonts w:ascii="Arial" w:hAnsi="Arial"/>
                <w:b/>
                <w:color w:val="334155"/>
                <w:sz w:val="18"/>
              </w:rPr>
              <w:t>S3</w:t>
            </w:r>
          </w:p>
        </w:tc>
        <w:tc>
          <w:tcPr>
            <w:tcW w:type="dxa" w:w="1512"/>
            <w:tcBorders>
              <w:start w:val="single" w:sz="6" w:color="D8E2EC"/>
              <w:top w:val="single" w:sz="6" w:color="D8E2EC"/>
              <w:end w:val="single" w:sz="6" w:color="D8E2EC"/>
              <w:bottom w:val="single" w:sz="6" w:color="D8E2EC"/>
            </w:tcBorders>
            <w:vAlign w:val="center"/>
          </w:tcPr>
          <w:p>
            <w:pPr>
              <w:spacing w:after="0"/>
              <w:jc w:val="center"/>
            </w:pPr>
            <w:r>
              <w:rPr>
                <w:rFonts w:ascii="Arial" w:hAnsi="Arial"/>
                <w:b w:val="0"/>
                <w:color w:val="334155"/>
                <w:sz w:val="18"/>
              </w:rPr>
              <w:t>18-26</w:t>
            </w:r>
          </w:p>
        </w:tc>
        <w:tc>
          <w:tcPr>
            <w:tcW w:type="dxa" w:w="5688"/>
            <w:tcBorders>
              <w:start w:val="single" w:sz="6" w:color="D8E2EC"/>
              <w:top w:val="single" w:sz="6" w:color="D8E2EC"/>
              <w:end w:val="single" w:sz="6" w:color="D8E2EC"/>
              <w:bottom w:val="single" w:sz="6" w:color="D8E2EC"/>
            </w:tcBorders>
            <w:vAlign w:val="center"/>
          </w:tcPr>
          <w:p>
            <w:pPr>
              <w:spacing w:after="0"/>
              <w:jc w:val="left"/>
            </w:pPr>
            <w:r>
              <w:rPr>
                <w:rFonts w:ascii="Arial" w:hAnsi="Arial"/>
                <w:b w:val="0"/>
                <w:color w:val="334155"/>
                <w:sz w:val="18"/>
              </w:rPr>
              <w:t>Ship search, Coverage Matrix, and policy detail drawer.</w:t>
            </w:r>
          </w:p>
        </w:tc>
        <w:tc>
          <w:tcPr>
            <w:tcW w:type="dxa" w:w="1296"/>
            <w:tcBorders>
              <w:start w:val="single" w:sz="6" w:color="D8E2EC"/>
              <w:top w:val="single" w:sz="6" w:color="D8E2EC"/>
              <w:end w:val="single" w:sz="6" w:color="D8E2EC"/>
              <w:bottom w:val="single" w:sz="6" w:color="D8E2EC"/>
            </w:tcBorders>
            <w:vAlign w:val="center"/>
          </w:tcPr>
          <w:p>
            <w:pPr>
              <w:spacing w:after="0"/>
              <w:jc w:val="center"/>
            </w:pPr>
            <w:r>
              <w:rPr>
                <w:rFonts w:ascii="Arial" w:hAnsi="Arial"/>
                <w:b w:val="0"/>
                <w:color w:val="334155"/>
                <w:sz w:val="18"/>
              </w:rPr>
              <w:t>h26</w:t>
            </w:r>
          </w:p>
        </w:tc>
      </w:tr>
      <w:tr>
        <w:tc>
          <w:tcPr>
            <w:tcW w:type="dxa" w:w="1440"/>
            <w:tcBorders>
              <w:start w:val="single" w:sz="6" w:color="D8E2EC"/>
              <w:top w:val="single" w:sz="6" w:color="D8E2EC"/>
              <w:end w:val="single" w:sz="6" w:color="D8E2EC"/>
              <w:bottom w:val="single" w:sz="6" w:color="D8E2EC"/>
            </w:tcBorders>
            <w:vAlign w:val="center"/>
            <w:shd w:fill="F8FAFC"/>
          </w:tcPr>
          <w:p>
            <w:pPr>
              <w:spacing w:after="0"/>
              <w:jc w:val="center"/>
            </w:pPr>
            <w:r>
              <w:rPr>
                <w:rFonts w:ascii="Arial" w:hAnsi="Arial"/>
                <w:b/>
                <w:color w:val="334155"/>
                <w:sz w:val="18"/>
              </w:rPr>
              <w:t>S4</w:t>
            </w:r>
          </w:p>
        </w:tc>
        <w:tc>
          <w:tcPr>
            <w:tcW w:type="dxa" w:w="1512"/>
            <w:tcBorders>
              <w:start w:val="single" w:sz="6" w:color="D8E2EC"/>
              <w:top w:val="single" w:sz="6" w:color="D8E2EC"/>
              <w:end w:val="single" w:sz="6" w:color="D8E2EC"/>
              <w:bottom w:val="single" w:sz="6" w:color="D8E2EC"/>
            </w:tcBorders>
            <w:vAlign w:val="center"/>
          </w:tcPr>
          <w:p>
            <w:pPr>
              <w:spacing w:after="0"/>
              <w:jc w:val="center"/>
            </w:pPr>
            <w:r>
              <w:rPr>
                <w:rFonts w:ascii="Arial" w:hAnsi="Arial"/>
                <w:b w:val="0"/>
                <w:color w:val="334155"/>
                <w:sz w:val="18"/>
              </w:rPr>
              <w:t>26-34</w:t>
            </w:r>
          </w:p>
        </w:tc>
        <w:tc>
          <w:tcPr>
            <w:tcW w:type="dxa" w:w="5688"/>
            <w:tcBorders>
              <w:start w:val="single" w:sz="6" w:color="D8E2EC"/>
              <w:top w:val="single" w:sz="6" w:color="D8E2EC"/>
              <w:end w:val="single" w:sz="6" w:color="D8E2EC"/>
              <w:bottom w:val="single" w:sz="6" w:color="D8E2EC"/>
            </w:tcBorders>
            <w:vAlign w:val="center"/>
          </w:tcPr>
          <w:p>
            <w:pPr>
              <w:spacing w:after="0"/>
              <w:jc w:val="left"/>
            </w:pPr>
            <w:r>
              <w:rPr>
                <w:rFonts w:ascii="Arial" w:hAnsi="Arial"/>
                <w:b w:val="0"/>
                <w:color w:val="334155"/>
                <w:sz w:val="18"/>
              </w:rPr>
              <w:t>Ship Policy Fit Simulator and evidence pack.</w:t>
            </w:r>
          </w:p>
        </w:tc>
        <w:tc>
          <w:tcPr>
            <w:tcW w:type="dxa" w:w="1296"/>
            <w:tcBorders>
              <w:start w:val="single" w:sz="6" w:color="D8E2EC"/>
              <w:top w:val="single" w:sz="6" w:color="D8E2EC"/>
              <w:end w:val="single" w:sz="6" w:color="D8E2EC"/>
              <w:bottom w:val="single" w:sz="6" w:color="D8E2EC"/>
            </w:tcBorders>
            <w:vAlign w:val="center"/>
          </w:tcPr>
          <w:p>
            <w:pPr>
              <w:spacing w:after="0"/>
              <w:jc w:val="center"/>
            </w:pPr>
            <w:r>
              <w:rPr>
                <w:rFonts w:ascii="Arial" w:hAnsi="Arial"/>
                <w:b w:val="0"/>
                <w:color w:val="334155"/>
                <w:sz w:val="18"/>
              </w:rPr>
              <w:t>h34</w:t>
            </w:r>
          </w:p>
        </w:tc>
      </w:tr>
      <w:tr>
        <w:tc>
          <w:tcPr>
            <w:tcW w:type="dxa" w:w="1440"/>
            <w:tcBorders>
              <w:start w:val="single" w:sz="6" w:color="D8E2EC"/>
              <w:top w:val="single" w:sz="6" w:color="D8E2EC"/>
              <w:end w:val="single" w:sz="6" w:color="D8E2EC"/>
              <w:bottom w:val="single" w:sz="6" w:color="D8E2EC"/>
            </w:tcBorders>
            <w:vAlign w:val="center"/>
            <w:shd w:fill="F8FAFC"/>
          </w:tcPr>
          <w:p>
            <w:pPr>
              <w:spacing w:after="0"/>
              <w:jc w:val="center"/>
            </w:pPr>
            <w:r>
              <w:rPr>
                <w:rFonts w:ascii="Arial" w:hAnsi="Arial"/>
                <w:b/>
                <w:color w:val="334155"/>
                <w:sz w:val="18"/>
              </w:rPr>
              <w:t>S5</w:t>
            </w:r>
          </w:p>
        </w:tc>
        <w:tc>
          <w:tcPr>
            <w:tcW w:type="dxa" w:w="1512"/>
            <w:tcBorders>
              <w:start w:val="single" w:sz="6" w:color="D8E2EC"/>
              <w:top w:val="single" w:sz="6" w:color="D8E2EC"/>
              <w:end w:val="single" w:sz="6" w:color="D8E2EC"/>
              <w:bottom w:val="single" w:sz="6" w:color="D8E2EC"/>
            </w:tcBorders>
            <w:vAlign w:val="center"/>
          </w:tcPr>
          <w:p>
            <w:pPr>
              <w:spacing w:after="0"/>
              <w:jc w:val="center"/>
            </w:pPr>
            <w:r>
              <w:rPr>
                <w:rFonts w:ascii="Arial" w:hAnsi="Arial"/>
                <w:b w:val="0"/>
                <w:color w:val="334155"/>
                <w:sz w:val="18"/>
              </w:rPr>
              <w:t>34-40</w:t>
            </w:r>
          </w:p>
        </w:tc>
        <w:tc>
          <w:tcPr>
            <w:tcW w:type="dxa" w:w="5688"/>
            <w:tcBorders>
              <w:start w:val="single" w:sz="6" w:color="D8E2EC"/>
              <w:top w:val="single" w:sz="6" w:color="D8E2EC"/>
              <w:end w:val="single" w:sz="6" w:color="D8E2EC"/>
              <w:bottom w:val="single" w:sz="6" w:color="D8E2EC"/>
            </w:tcBorders>
            <w:vAlign w:val="center"/>
          </w:tcPr>
          <w:p>
            <w:pPr>
              <w:spacing w:after="0"/>
              <w:jc w:val="left"/>
            </w:pPr>
            <w:r>
              <w:rPr>
                <w:rFonts w:ascii="Arial" w:hAnsi="Arial"/>
                <w:b w:val="0"/>
                <w:color w:val="334155"/>
                <w:sz w:val="18"/>
              </w:rPr>
              <w:t>Ship Change Radar, semantic diff, and friction score.</w:t>
            </w:r>
          </w:p>
        </w:tc>
        <w:tc>
          <w:tcPr>
            <w:tcW w:type="dxa" w:w="1296"/>
            <w:tcBorders>
              <w:start w:val="single" w:sz="6" w:color="D8E2EC"/>
              <w:top w:val="single" w:sz="6" w:color="D8E2EC"/>
              <w:end w:val="single" w:sz="6" w:color="D8E2EC"/>
              <w:bottom w:val="single" w:sz="6" w:color="D8E2EC"/>
            </w:tcBorders>
            <w:vAlign w:val="center"/>
          </w:tcPr>
          <w:p>
            <w:pPr>
              <w:spacing w:after="0"/>
              <w:jc w:val="center"/>
            </w:pPr>
            <w:r>
              <w:rPr>
                <w:rFonts w:ascii="Arial" w:hAnsi="Arial"/>
                <w:b w:val="0"/>
                <w:color w:val="334155"/>
                <w:sz w:val="18"/>
              </w:rPr>
              <w:t>h40</w:t>
            </w:r>
          </w:p>
        </w:tc>
      </w:tr>
      <w:tr>
        <w:tc>
          <w:tcPr>
            <w:tcW w:type="dxa" w:w="1440"/>
            <w:tcBorders>
              <w:start w:val="single" w:sz="6" w:color="D8E2EC"/>
              <w:top w:val="single" w:sz="6" w:color="D8E2EC"/>
              <w:end w:val="single" w:sz="6" w:color="D8E2EC"/>
              <w:bottom w:val="single" w:sz="6" w:color="D8E2EC"/>
            </w:tcBorders>
            <w:vAlign w:val="center"/>
            <w:shd w:fill="F8FAFC"/>
          </w:tcPr>
          <w:p>
            <w:pPr>
              <w:spacing w:after="0"/>
              <w:jc w:val="center"/>
            </w:pPr>
            <w:r>
              <w:rPr>
                <w:rFonts w:ascii="Arial" w:hAnsi="Arial"/>
                <w:b/>
                <w:color w:val="334155"/>
                <w:sz w:val="18"/>
              </w:rPr>
              <w:t>S6</w:t>
            </w:r>
          </w:p>
        </w:tc>
        <w:tc>
          <w:tcPr>
            <w:tcW w:type="dxa" w:w="1512"/>
            <w:tcBorders>
              <w:start w:val="single" w:sz="6" w:color="D8E2EC"/>
              <w:top w:val="single" w:sz="6" w:color="D8E2EC"/>
              <w:end w:val="single" w:sz="6" w:color="D8E2EC"/>
              <w:bottom w:val="single" w:sz="6" w:color="D8E2EC"/>
            </w:tcBorders>
            <w:vAlign w:val="center"/>
          </w:tcPr>
          <w:p>
            <w:pPr>
              <w:spacing w:after="0"/>
              <w:jc w:val="center"/>
            </w:pPr>
            <w:r>
              <w:rPr>
                <w:rFonts w:ascii="Arial" w:hAnsi="Arial"/>
                <w:b w:val="0"/>
                <w:color w:val="334155"/>
                <w:sz w:val="18"/>
              </w:rPr>
              <w:t>40-45</w:t>
            </w:r>
          </w:p>
        </w:tc>
        <w:tc>
          <w:tcPr>
            <w:tcW w:type="dxa" w:w="5688"/>
            <w:tcBorders>
              <w:start w:val="single" w:sz="6" w:color="D8E2EC"/>
              <w:top w:val="single" w:sz="6" w:color="D8E2EC"/>
              <w:end w:val="single" w:sz="6" w:color="D8E2EC"/>
              <w:bottom w:val="single" w:sz="6" w:color="D8E2EC"/>
            </w:tcBorders>
            <w:vAlign w:val="center"/>
          </w:tcPr>
          <w:p>
            <w:pPr>
              <w:spacing w:after="0"/>
              <w:jc w:val="left"/>
            </w:pPr>
            <w:r>
              <w:rPr>
                <w:rFonts w:ascii="Arial" w:hAnsi="Arial"/>
                <w:b w:val="0"/>
                <w:color w:val="334155"/>
                <w:sz w:val="18"/>
              </w:rPr>
              <w:t>Integrate Auth0 roles and one stable ElevenLabs voice flow.</w:t>
            </w:r>
          </w:p>
        </w:tc>
        <w:tc>
          <w:tcPr>
            <w:tcW w:type="dxa" w:w="1296"/>
            <w:tcBorders>
              <w:start w:val="single" w:sz="6" w:color="D8E2EC"/>
              <w:top w:val="single" w:sz="6" w:color="D8E2EC"/>
              <w:end w:val="single" w:sz="6" w:color="D8E2EC"/>
              <w:bottom w:val="single" w:sz="6" w:color="D8E2EC"/>
            </w:tcBorders>
            <w:vAlign w:val="center"/>
          </w:tcPr>
          <w:p>
            <w:pPr>
              <w:spacing w:after="0"/>
              <w:jc w:val="center"/>
            </w:pPr>
            <w:r>
              <w:rPr>
                <w:rFonts w:ascii="Arial" w:hAnsi="Arial"/>
                <w:b w:val="0"/>
                <w:color w:val="334155"/>
                <w:sz w:val="18"/>
              </w:rPr>
              <w:t>h45</w:t>
            </w:r>
          </w:p>
        </w:tc>
      </w:tr>
      <w:tr>
        <w:tc>
          <w:tcPr>
            <w:tcW w:type="dxa" w:w="1440"/>
            <w:tcBorders>
              <w:start w:val="single" w:sz="6" w:color="D8E2EC"/>
              <w:top w:val="single" w:sz="6" w:color="D8E2EC"/>
              <w:end w:val="single" w:sz="6" w:color="D8E2EC"/>
              <w:bottom w:val="single" w:sz="6" w:color="D8E2EC"/>
            </w:tcBorders>
            <w:vAlign w:val="center"/>
            <w:shd w:fill="F8FAFC"/>
          </w:tcPr>
          <w:p>
            <w:pPr>
              <w:spacing w:after="0"/>
              <w:jc w:val="center"/>
            </w:pPr>
            <w:r>
              <w:rPr>
                <w:rFonts w:ascii="Arial" w:hAnsi="Arial"/>
                <w:b/>
                <w:color w:val="334155"/>
                <w:sz w:val="18"/>
              </w:rPr>
              <w:t>S7</w:t>
            </w:r>
          </w:p>
        </w:tc>
        <w:tc>
          <w:tcPr>
            <w:tcW w:type="dxa" w:w="1512"/>
            <w:tcBorders>
              <w:start w:val="single" w:sz="6" w:color="D8E2EC"/>
              <w:top w:val="single" w:sz="6" w:color="D8E2EC"/>
              <w:end w:val="single" w:sz="6" w:color="D8E2EC"/>
              <w:bottom w:val="single" w:sz="6" w:color="D8E2EC"/>
            </w:tcBorders>
            <w:vAlign w:val="center"/>
          </w:tcPr>
          <w:p>
            <w:pPr>
              <w:spacing w:after="0"/>
              <w:jc w:val="center"/>
            </w:pPr>
            <w:r>
              <w:rPr>
                <w:rFonts w:ascii="Arial" w:hAnsi="Arial"/>
                <w:b w:val="0"/>
                <w:color w:val="334155"/>
                <w:sz w:val="18"/>
              </w:rPr>
              <w:t>45-48</w:t>
            </w:r>
          </w:p>
        </w:tc>
        <w:tc>
          <w:tcPr>
            <w:tcW w:type="dxa" w:w="5688"/>
            <w:tcBorders>
              <w:start w:val="single" w:sz="6" w:color="D8E2EC"/>
              <w:top w:val="single" w:sz="6" w:color="D8E2EC"/>
              <w:end w:val="single" w:sz="6" w:color="D8E2EC"/>
              <w:bottom w:val="single" w:sz="6" w:color="D8E2EC"/>
            </w:tcBorders>
            <w:vAlign w:val="center"/>
          </w:tcPr>
          <w:p>
            <w:pPr>
              <w:spacing w:after="0"/>
              <w:jc w:val="left"/>
            </w:pPr>
            <w:r>
              <w:rPr>
                <w:rFonts w:ascii="Arial" w:hAnsi="Arial"/>
                <w:b w:val="0"/>
                <w:color w:val="334155"/>
                <w:sz w:val="18"/>
              </w:rPr>
              <w:t>QA, backup assets, final demo story, and pitch lock.</w:t>
            </w:r>
          </w:p>
        </w:tc>
        <w:tc>
          <w:tcPr>
            <w:tcW w:type="dxa" w:w="1296"/>
            <w:tcBorders>
              <w:start w:val="single" w:sz="6" w:color="D8E2EC"/>
              <w:top w:val="single" w:sz="6" w:color="D8E2EC"/>
              <w:end w:val="single" w:sz="6" w:color="D8E2EC"/>
              <w:bottom w:val="single" w:sz="6" w:color="D8E2EC"/>
            </w:tcBorders>
            <w:vAlign w:val="center"/>
          </w:tcPr>
          <w:p>
            <w:pPr>
              <w:spacing w:after="0"/>
              <w:jc w:val="center"/>
            </w:pPr>
            <w:r>
              <w:rPr>
                <w:rFonts w:ascii="Arial" w:hAnsi="Arial"/>
                <w:b w:val="0"/>
                <w:color w:val="334155"/>
                <w:sz w:val="18"/>
              </w:rPr>
              <w:t>Finish</w:t>
            </w:r>
          </w:p>
        </w:tc>
      </w:tr>
    </w:tbl>
    <w:p>
      <w:pPr>
        <w:spacing w:after="60" w:before="0"/>
      </w:pPr>
    </w:p>
    <w:tbl>
      <w:tblPr>
        <w:tblW w:type="auto" w:w="0"/>
        <w:jc w:val="center"/>
        <w:tblLayout w:type="fixed"/>
        <w:tblLook w:firstColumn="1" w:firstRow="1" w:lastColumn="0" w:lastRow="0" w:noHBand="0" w:noVBand="1" w:val="04A0"/>
        <w:tblCellMar>
          <w:top w:w="95" w:type="dxa"/>
          <w:start w:w="110" w:type="dxa"/>
          <w:bottom w:w="95" w:type="dxa"/>
          <w:end w:w="110" w:type="dxa"/>
        </w:tblCellMar>
      </w:tblPr>
      <w:tblGrid>
        <w:gridCol w:w="4997"/>
        <w:gridCol w:w="4997"/>
      </w:tblGrid>
      <w:tr>
        <w:tc>
          <w:tcPr>
            <w:tcW w:type="dxa" w:w="4896"/>
            <w:shd w:fill="F8FAFC"/>
            <w:tcBorders>
              <w:start w:val="single" w:sz="8" w:color="D8E2EC"/>
              <w:top w:val="single" w:sz="8" w:color="D8E2EC"/>
              <w:end w:val="single" w:sz="8" w:color="D8E2EC"/>
              <w:bottom w:val="single" w:sz="8" w:color="D8E2EC"/>
            </w:tcBorders>
          </w:tcPr>
          <w:p>
            <w:r>
              <w:rPr>
                <w:rFonts w:ascii="Arial" w:hAnsi="Arial"/>
                <w:b/>
                <w:color w:val="0F172A"/>
                <w:sz w:val="20"/>
              </w:rPr>
              <w:t>Recommended team split</w:t>
            </w:r>
          </w:p>
          <w:p>
            <w:pPr>
              <w:pStyle w:val="ListBullet"/>
              <w:spacing w:before="0" w:after="30" w:line="240" w:lineRule="auto"/>
            </w:pPr>
            <w:r>
              <w:rPr>
                <w:rFonts w:ascii="Arial" w:hAnsi="Arial"/>
                <w:color w:val="334155"/>
                <w:sz w:val="18"/>
              </w:rPr>
              <w:t>Data / policy lead: source manifest, parsing QA, normalization rules.</w:t>
            </w:r>
          </w:p>
          <w:p>
            <w:pPr>
              <w:pStyle w:val="ListBullet"/>
              <w:spacing w:before="0" w:after="30" w:line="240" w:lineRule="auto"/>
            </w:pPr>
            <w:r>
              <w:rPr>
                <w:rFonts w:ascii="Arial" w:hAnsi="Arial"/>
                <w:color w:val="334155"/>
                <w:sz w:val="18"/>
              </w:rPr>
              <w:t>Backend / AI lead: schema, extraction pipeline, tool orchestration, diff logic.</w:t>
            </w:r>
          </w:p>
          <w:p>
            <w:pPr>
              <w:pStyle w:val="ListBullet"/>
              <w:spacing w:before="0" w:after="30" w:line="240" w:lineRule="auto"/>
            </w:pPr>
            <w:r>
              <w:rPr>
                <w:rFonts w:ascii="Arial" w:hAnsi="Arial"/>
                <w:color w:val="334155"/>
                <w:sz w:val="18"/>
              </w:rPr>
              <w:t>Frontend / product lead: search, matrix, simulator, visual polish.</w:t>
            </w:r>
          </w:p>
          <w:p>
            <w:pPr>
              <w:pStyle w:val="ListBullet"/>
              <w:spacing w:before="0" w:after="30" w:line="240" w:lineRule="auto"/>
            </w:pPr>
            <w:r>
              <w:rPr>
                <w:rFonts w:ascii="Arial" w:hAnsi="Arial"/>
                <w:color w:val="334155"/>
                <w:sz w:val="18"/>
              </w:rPr>
              <w:t>Pitch / ops lead: demo story, screenshots, fallback assets, submission.</w:t>
            </w:r>
          </w:p>
        </w:tc>
        <w:tc>
          <w:tcPr>
            <w:tcW w:type="dxa" w:w="5040"/>
            <w:shd w:fill="F8FAFC"/>
            <w:tcBorders>
              <w:start w:val="single" w:sz="8" w:color="D8E2EC"/>
              <w:top w:val="single" w:sz="8" w:color="D8E2EC"/>
              <w:end w:val="single" w:sz="8" w:color="D8E2EC"/>
              <w:bottom w:val="single" w:sz="8" w:color="D8E2EC"/>
            </w:tcBorders>
          </w:tcPr>
          <w:p>
            <w:r>
              <w:rPr>
                <w:rFonts w:ascii="Arial" w:hAnsi="Arial"/>
                <w:b/>
                <w:color w:val="0F172A"/>
                <w:sz w:val="20"/>
              </w:rPr>
              <w:t>Checkpoint rules</w:t>
            </w:r>
          </w:p>
          <w:p>
            <w:pPr>
              <w:pStyle w:val="ListBullet"/>
              <w:spacing w:before="0" w:after="30" w:line="240" w:lineRule="auto"/>
            </w:pPr>
            <w:r>
              <w:rPr>
                <w:rFonts w:ascii="Arial" w:hAnsi="Arial"/>
                <w:color w:val="334155"/>
                <w:sz w:val="18"/>
              </w:rPr>
              <w:t>At h10, stop adding sources and make parsing reliable.</w:t>
            </w:r>
          </w:p>
          <w:p>
            <w:pPr>
              <w:pStyle w:val="ListBullet"/>
              <w:spacing w:before="0" w:after="30" w:line="240" w:lineRule="auto"/>
            </w:pPr>
            <w:r>
              <w:rPr>
                <w:rFonts w:ascii="Arial" w:hAnsi="Arial"/>
                <w:color w:val="334155"/>
                <w:sz w:val="18"/>
              </w:rPr>
              <w:t>At h26, matrix must work before simulator complexity grows.</w:t>
            </w:r>
          </w:p>
          <w:p>
            <w:pPr>
              <w:pStyle w:val="ListBullet"/>
              <w:spacing w:before="0" w:after="30" w:line="240" w:lineRule="auto"/>
            </w:pPr>
            <w:r>
              <w:rPr>
                <w:rFonts w:ascii="Arial" w:hAnsi="Arial"/>
                <w:color w:val="334155"/>
                <w:sz w:val="18"/>
              </w:rPr>
              <w:t>At h40, freeze new core features and focus on demo integrity.</w:t>
            </w:r>
          </w:p>
          <w:p>
            <w:pPr>
              <w:pStyle w:val="ListBullet"/>
              <w:spacing w:before="0" w:after="30" w:line="240" w:lineRule="auto"/>
            </w:pPr>
            <w:r>
              <w:rPr>
                <w:rFonts w:ascii="Arial" w:hAnsi="Arial"/>
                <w:color w:val="334155"/>
                <w:sz w:val="18"/>
              </w:rPr>
              <w:t>At h45, record a backup walkthrough and export screenshots.</w:t>
            </w:r>
          </w:p>
        </w:tc>
      </w:tr>
    </w:tbl>
    <w:p>
      <w:r>
        <w:br w:type="page"/>
      </w:r>
    </w:p>
    <w:p>
      <w:pPr>
        <w:pStyle w:val="Heading1"/>
        <w:spacing w:before="0" w:after="80" w:line="259" w:lineRule="auto"/>
      </w:pPr>
      <w:r>
        <w:rPr>
          <w:rFonts w:ascii="Arial" w:hAnsi="Arial"/>
          <w:b w:val="0"/>
          <w:color w:val="334155"/>
          <w:sz w:val="21"/>
        </w:rPr>
        <w:t>3. Detailed sprint plan | foundation</w:t>
      </w:r>
    </w:p>
    <w:tbl>
      <w:tblPr>
        <w:tblW w:type="auto" w:w="0"/>
        <w:jc w:val="center"/>
        <w:tblLayout w:type="fixed"/>
        <w:tblLook w:firstColumn="1" w:firstRow="1" w:lastColumn="0" w:lastRow="0" w:noHBand="0" w:noVBand="1" w:val="04A0"/>
      </w:tblPr>
      <w:tblGrid>
        <w:gridCol w:w="9994"/>
      </w:tblGrid>
      <w:tr>
        <w:tc>
          <w:tcPr>
            <w:tcW w:type="dxa" w:w="9936"/>
            <w:shd w:fill="0F172A"/>
            <w:tcBorders>
              <w:start w:val="nil"/>
              <w:top w:val="nil"/>
              <w:end w:val="nil"/>
              <w:bottom w:val="nil"/>
            </w:tcBorders>
          </w:tcPr>
          <w:p>
            <w:pPr>
              <w:spacing w:before="0" w:after="0"/>
            </w:pPr>
            <w:r>
              <w:rPr>
                <w:rFonts w:ascii="Arial" w:hAnsi="Arial"/>
                <w:b/>
                <w:color w:val="FFFFFF"/>
                <w:sz w:val="20"/>
              </w:rPr>
              <w:t>SPRINT 0  |  Scope lock + source manifest  |  Hours 0-3</w:t>
            </w:r>
          </w:p>
        </w:tc>
      </w:tr>
    </w:tbl>
    <w:tbl>
      <w:tblPr>
        <w:tblW w:type="auto" w:w="0"/>
        <w:jc w:val="center"/>
        <w:tblLayout w:type="fixed"/>
        <w:tblLook w:firstColumn="1" w:firstRow="1" w:lastColumn="0" w:lastRow="0" w:noHBand="0" w:noVBand="1" w:val="04A0"/>
        <w:tblCellMar>
          <w:top w:w="72" w:type="dxa"/>
          <w:start w:w="105" w:type="dxa"/>
          <w:bottom w:w="72" w:type="dxa"/>
          <w:end w:w="105" w:type="dxa"/>
        </w:tblCellMar>
      </w:tblPr>
      <w:tblGrid>
        <w:gridCol w:w="4997"/>
        <w:gridCol w:w="4997"/>
      </w:tblGrid>
      <w:tr>
        <w:trPr>
          <w:cantSplit/>
        </w:trPr>
        <w:tc>
          <w:tcPr>
            <w:tcW w:type="dxa" w:w="2088"/>
            <w:tcBorders>
              <w:start w:val="single" w:sz="6" w:color="D8E2EC"/>
              <w:top w:val="single" w:sz="6" w:color="D8E2EC"/>
              <w:end w:val="single" w:sz="6" w:color="D8E2EC"/>
              <w:bottom w:val="single" w:sz="6" w:color="D8E2EC"/>
            </w:tcBorders>
            <w:shd w:fill="F8FAFC"/>
            <w:vAlign w:val="center"/>
          </w:tcPr>
          <w:p>
            <w:pPr>
              <w:spacing w:after="0"/>
            </w:pPr>
            <w:r>
              <w:rPr>
                <w:rFonts w:ascii="Arial" w:hAnsi="Arial"/>
                <w:b/>
                <w:color w:val="0F172A"/>
                <w:sz w:val="18"/>
              </w:rPr>
              <w:t>Objective</w:t>
            </w:r>
          </w:p>
        </w:tc>
        <w:tc>
          <w:tcPr>
            <w:tcW w:type="dxa" w:w="7848"/>
            <w:tcBorders>
              <w:start w:val="single" w:sz="6" w:color="D8E2EC"/>
              <w:top w:val="single" w:sz="6" w:color="D8E2EC"/>
              <w:end w:val="single" w:sz="6" w:color="D8E2EC"/>
              <w:bottom w:val="single" w:sz="6" w:color="D8E2EC"/>
            </w:tcBorders>
            <w:vAlign w:val="center"/>
          </w:tcPr>
          <w:p>
            <w:pPr>
              <w:spacing w:after="0"/>
            </w:pPr>
            <w:r>
              <w:rPr>
                <w:rFonts w:ascii="Arial" w:hAnsi="Arial"/>
                <w:color w:val="334155"/>
                <w:sz w:val="18"/>
              </w:rPr>
              <w:t>Eliminate drift before coding starts by freezing the product wedge, data scope, and required screens.</w:t>
            </w:r>
          </w:p>
        </w:tc>
      </w:tr>
      <w:tr>
        <w:trPr>
          <w:cantSplit/>
        </w:trPr>
        <w:tc>
          <w:tcPr>
            <w:tcW w:type="dxa" w:w="2088"/>
            <w:tcBorders>
              <w:start w:val="single" w:sz="6" w:color="D8E2EC"/>
              <w:top w:val="single" w:sz="6" w:color="D8E2EC"/>
              <w:end w:val="single" w:sz="6" w:color="D8E2EC"/>
              <w:bottom w:val="single" w:sz="6" w:color="D8E2EC"/>
            </w:tcBorders>
            <w:shd w:fill="F8FAFC"/>
            <w:vAlign w:val="center"/>
          </w:tcPr>
          <w:p>
            <w:pPr>
              <w:spacing w:after="0"/>
            </w:pPr>
            <w:r>
              <w:rPr>
                <w:rFonts w:ascii="Arial" w:hAnsi="Arial"/>
                <w:b/>
                <w:color w:val="0F172A"/>
                <w:sz w:val="18"/>
              </w:rPr>
              <w:t>Key tasks</w:t>
            </w:r>
          </w:p>
        </w:tc>
        <w:tc>
          <w:tcPr>
            <w:tcW w:type="dxa" w:w="7848"/>
            <w:tcBorders>
              <w:start w:val="single" w:sz="6" w:color="D8E2EC"/>
              <w:top w:val="single" w:sz="6" w:color="D8E2EC"/>
              <w:end w:val="single" w:sz="6" w:color="D8E2EC"/>
              <w:bottom w:val="single" w:sz="6" w:color="D8E2EC"/>
            </w:tcBorders>
            <w:vAlign w:val="center"/>
          </w:tcPr>
          <w:p>
            <w:pPr>
              <w:pStyle w:val="ListBullet"/>
              <w:spacing w:before="0" w:after="30" w:line="240" w:lineRule="auto"/>
            </w:pPr>
            <w:r>
              <w:rPr>
                <w:rFonts w:ascii="Arial" w:hAnsi="Arial"/>
                <w:color w:val="334155"/>
                <w:sz w:val="18"/>
              </w:rPr>
              <w:t>Freeze one therapeutic area: autoimmune / inflammatory infused biologics.</w:t>
            </w:r>
          </w:p>
          <w:p>
            <w:pPr>
              <w:pStyle w:val="ListBullet"/>
              <w:spacing w:before="0" w:after="30" w:line="240" w:lineRule="auto"/>
            </w:pPr>
            <w:r>
              <w:rPr>
                <w:rFonts w:ascii="Arial" w:hAnsi="Arial"/>
                <w:color w:val="334155"/>
                <w:sz w:val="18"/>
              </w:rPr>
              <w:t>Select 4-5 payers and list 20-40 official public policy documents with effective dates.</w:t>
            </w:r>
          </w:p>
          <w:p>
            <w:pPr>
              <w:pStyle w:val="ListBullet"/>
              <w:spacing w:before="0" w:after="30" w:line="240" w:lineRule="auto"/>
            </w:pPr>
            <w:r>
              <w:rPr>
                <w:rFonts w:ascii="Arial" w:hAnsi="Arial"/>
                <w:color w:val="334155"/>
                <w:sz w:val="18"/>
              </w:rPr>
              <w:t>Define the Policy DNA schema, citation model, and repo structure.</w:t>
            </w:r>
          </w:p>
          <w:p>
            <w:pPr>
              <w:pStyle w:val="ListBullet"/>
              <w:spacing w:before="0" w:after="30" w:line="240" w:lineRule="auto"/>
            </w:pPr>
            <w:r>
              <w:rPr>
                <w:rFonts w:ascii="Arial" w:hAnsi="Arial"/>
                <w:color w:val="334155"/>
                <w:sz w:val="18"/>
              </w:rPr>
              <w:t>Sketch the four core screens: landing, Coverage Matrix, simulator, and Change Radar.</w:t>
            </w:r>
          </w:p>
        </w:tc>
      </w:tr>
      <w:tr>
        <w:trPr>
          <w:cantSplit/>
        </w:trPr>
        <w:tc>
          <w:tcPr>
            <w:tcW w:type="dxa" w:w="2088"/>
            <w:tcBorders>
              <w:start w:val="single" w:sz="6" w:color="D8E2EC"/>
              <w:top w:val="single" w:sz="6" w:color="D8E2EC"/>
              <w:end w:val="single" w:sz="6" w:color="D8E2EC"/>
              <w:bottom w:val="single" w:sz="6" w:color="D8E2EC"/>
            </w:tcBorders>
            <w:shd w:fill="F8FAFC"/>
            <w:vAlign w:val="center"/>
          </w:tcPr>
          <w:p>
            <w:pPr>
              <w:spacing w:after="0"/>
            </w:pPr>
            <w:r>
              <w:rPr>
                <w:rFonts w:ascii="Arial" w:hAnsi="Arial"/>
                <w:b/>
                <w:color w:val="0F172A"/>
                <w:sz w:val="18"/>
              </w:rPr>
              <w:t>Done when</w:t>
            </w:r>
          </w:p>
        </w:tc>
        <w:tc>
          <w:tcPr>
            <w:tcW w:type="dxa" w:w="7848"/>
            <w:tcBorders>
              <w:start w:val="single" w:sz="6" w:color="D8E2EC"/>
              <w:top w:val="single" w:sz="6" w:color="D8E2EC"/>
              <w:end w:val="single" w:sz="6" w:color="D8E2EC"/>
              <w:bottom w:val="single" w:sz="6" w:color="D8E2EC"/>
            </w:tcBorders>
            <w:vAlign w:val="center"/>
          </w:tcPr>
          <w:p>
            <w:pPr>
              <w:pStyle w:val="ListBullet"/>
              <w:spacing w:before="0" w:after="30" w:line="240" w:lineRule="auto"/>
            </w:pPr>
            <w:r>
              <w:rPr>
                <w:rFonts w:ascii="Arial" w:hAnsi="Arial"/>
                <w:color w:val="334155"/>
                <w:sz w:val="18"/>
              </w:rPr>
              <w:t>Source manifest exists and every document has a URL, date, and version label.</w:t>
            </w:r>
          </w:p>
          <w:p>
            <w:pPr>
              <w:pStyle w:val="ListBullet"/>
              <w:spacing w:before="0" w:after="30" w:line="240" w:lineRule="auto"/>
            </w:pPr>
            <w:r>
              <w:rPr>
                <w:rFonts w:ascii="Arial" w:hAnsi="Arial"/>
                <w:color w:val="334155"/>
                <w:sz w:val="18"/>
              </w:rPr>
              <w:t>Schema is frozen for the weekend and scope creep is blocked.</w:t>
            </w:r>
          </w:p>
          <w:p>
            <w:pPr>
              <w:pStyle w:val="ListBullet"/>
              <w:spacing w:before="0" w:after="30" w:line="240" w:lineRule="auto"/>
            </w:pPr>
            <w:r>
              <w:rPr>
                <w:rFonts w:ascii="Arial" w:hAnsi="Arial"/>
                <w:color w:val="334155"/>
                <w:sz w:val="18"/>
              </w:rPr>
              <w:t>Every teammate knows the exact demo flow and handoff points.</w:t>
            </w:r>
          </w:p>
        </w:tc>
      </w:tr>
    </w:tbl>
    <w:p>
      <w:pPr>
        <w:spacing w:before="40" w:after="120" w:line="247" w:lineRule="auto"/>
      </w:pPr>
      <w:r>
        <w:rPr>
          <w:rFonts w:ascii="Arial" w:hAnsi="Arial"/>
          <w:b/>
          <w:color w:val="64748B"/>
          <w:sz w:val="18"/>
        </w:rPr>
        <w:t xml:space="preserve">Risk note: </w:t>
      </w:r>
      <w:r>
        <w:rPr>
          <w:rFonts w:ascii="Arial" w:hAnsi="Arial"/>
          <w:i/>
          <w:color w:val="64748B"/>
          <w:sz w:val="18"/>
        </w:rPr>
        <w:t>If data sources look unstable, reduce payer count immediately rather than expanding later.</w:t>
      </w:r>
    </w:p>
    <w:tbl>
      <w:tblPr>
        <w:tblW w:type="auto" w:w="0"/>
        <w:jc w:val="center"/>
        <w:tblLayout w:type="fixed"/>
        <w:tblLook w:firstColumn="1" w:firstRow="1" w:lastColumn="0" w:lastRow="0" w:noHBand="0" w:noVBand="1" w:val="04A0"/>
      </w:tblPr>
      <w:tblGrid>
        <w:gridCol w:w="9994"/>
      </w:tblGrid>
      <w:tr>
        <w:tc>
          <w:tcPr>
            <w:tcW w:type="dxa" w:w="9936"/>
            <w:shd w:fill="0369A1"/>
            <w:tcBorders>
              <w:start w:val="nil"/>
              <w:top w:val="nil"/>
              <w:end w:val="nil"/>
              <w:bottom w:val="nil"/>
            </w:tcBorders>
          </w:tcPr>
          <w:p>
            <w:pPr>
              <w:spacing w:before="0" w:after="0"/>
            </w:pPr>
            <w:r>
              <w:rPr>
                <w:rFonts w:ascii="Arial" w:hAnsi="Arial"/>
                <w:b/>
                <w:color w:val="FFFFFF"/>
                <w:sz w:val="20"/>
              </w:rPr>
              <w:t>SPRINT 1  |  Capture + parse public policies  |  Hours 3-10</w:t>
            </w:r>
          </w:p>
        </w:tc>
      </w:tr>
    </w:tbl>
    <w:tbl>
      <w:tblPr>
        <w:tblW w:type="auto" w:w="0"/>
        <w:jc w:val="center"/>
        <w:tblLayout w:type="fixed"/>
        <w:tblLook w:firstColumn="1" w:firstRow="1" w:lastColumn="0" w:lastRow="0" w:noHBand="0" w:noVBand="1" w:val="04A0"/>
        <w:tblCellMar>
          <w:top w:w="72" w:type="dxa"/>
          <w:start w:w="105" w:type="dxa"/>
          <w:bottom w:w="72" w:type="dxa"/>
          <w:end w:w="105" w:type="dxa"/>
        </w:tblCellMar>
      </w:tblPr>
      <w:tblGrid>
        <w:gridCol w:w="4997"/>
        <w:gridCol w:w="4997"/>
      </w:tblGrid>
      <w:tr>
        <w:trPr>
          <w:cantSplit/>
        </w:trPr>
        <w:tc>
          <w:tcPr>
            <w:tcW w:type="dxa" w:w="2088"/>
            <w:tcBorders>
              <w:start w:val="single" w:sz="6" w:color="D8E2EC"/>
              <w:top w:val="single" w:sz="6" w:color="D8E2EC"/>
              <w:end w:val="single" w:sz="6" w:color="D8E2EC"/>
              <w:bottom w:val="single" w:sz="6" w:color="D8E2EC"/>
            </w:tcBorders>
            <w:shd w:fill="F8FAFC"/>
            <w:vAlign w:val="center"/>
          </w:tcPr>
          <w:p>
            <w:pPr>
              <w:spacing w:after="0"/>
            </w:pPr>
            <w:r>
              <w:rPr>
                <w:rFonts w:ascii="Arial" w:hAnsi="Arial"/>
                <w:b/>
                <w:color w:val="0F172A"/>
                <w:sz w:val="18"/>
              </w:rPr>
              <w:t>Objective</w:t>
            </w:r>
          </w:p>
        </w:tc>
        <w:tc>
          <w:tcPr>
            <w:tcW w:type="dxa" w:w="7848"/>
            <w:tcBorders>
              <w:start w:val="single" w:sz="6" w:color="D8E2EC"/>
              <w:top w:val="single" w:sz="6" w:color="D8E2EC"/>
              <w:end w:val="single" w:sz="6" w:color="D8E2EC"/>
              <w:bottom w:val="single" w:sz="6" w:color="D8E2EC"/>
            </w:tcBorders>
            <w:vAlign w:val="center"/>
          </w:tcPr>
          <w:p>
            <w:pPr>
              <w:spacing w:after="0"/>
            </w:pPr>
            <w:r>
              <w:rPr>
                <w:rFonts w:ascii="Arial" w:hAnsi="Arial"/>
                <w:color w:val="334155"/>
                <w:sz w:val="18"/>
              </w:rPr>
              <w:t>Turn payer PDFs and policy pages into clean text, section boundaries, and source-backed evidence spans.</w:t>
            </w:r>
          </w:p>
        </w:tc>
      </w:tr>
      <w:tr>
        <w:trPr>
          <w:cantSplit/>
        </w:trPr>
        <w:tc>
          <w:tcPr>
            <w:tcW w:type="dxa" w:w="2088"/>
            <w:tcBorders>
              <w:start w:val="single" w:sz="6" w:color="D8E2EC"/>
              <w:top w:val="single" w:sz="6" w:color="D8E2EC"/>
              <w:end w:val="single" w:sz="6" w:color="D8E2EC"/>
              <w:bottom w:val="single" w:sz="6" w:color="D8E2EC"/>
            </w:tcBorders>
            <w:shd w:fill="F8FAFC"/>
            <w:vAlign w:val="center"/>
          </w:tcPr>
          <w:p>
            <w:pPr>
              <w:spacing w:after="0"/>
            </w:pPr>
            <w:r>
              <w:rPr>
                <w:rFonts w:ascii="Arial" w:hAnsi="Arial"/>
                <w:b/>
                <w:color w:val="0F172A"/>
                <w:sz w:val="18"/>
              </w:rPr>
              <w:t>Key tasks</w:t>
            </w:r>
          </w:p>
        </w:tc>
        <w:tc>
          <w:tcPr>
            <w:tcW w:type="dxa" w:w="7848"/>
            <w:tcBorders>
              <w:start w:val="single" w:sz="6" w:color="D8E2EC"/>
              <w:top w:val="single" w:sz="6" w:color="D8E2EC"/>
              <w:end w:val="single" w:sz="6" w:color="D8E2EC"/>
              <w:bottom w:val="single" w:sz="6" w:color="D8E2EC"/>
            </w:tcBorders>
            <w:vAlign w:val="center"/>
          </w:tcPr>
          <w:p>
            <w:pPr>
              <w:pStyle w:val="ListBullet"/>
              <w:spacing w:before="0" w:after="30" w:line="240" w:lineRule="auto"/>
            </w:pPr>
            <w:r>
              <w:rPr>
                <w:rFonts w:ascii="Arial" w:hAnsi="Arial"/>
                <w:color w:val="334155"/>
                <w:sz w:val="18"/>
              </w:rPr>
              <w:t>Download documents and stamp each with payer, plan type, effective date, and hash.</w:t>
            </w:r>
          </w:p>
          <w:p>
            <w:pPr>
              <w:pStyle w:val="ListBullet"/>
              <w:spacing w:before="0" w:after="30" w:line="240" w:lineRule="auto"/>
            </w:pPr>
            <w:r>
              <w:rPr>
                <w:rFonts w:ascii="Arial" w:hAnsi="Arial"/>
                <w:color w:val="334155"/>
                <w:sz w:val="18"/>
              </w:rPr>
              <w:t>Parse PDF and HTML sources while preserving page numbers or section anchors.</w:t>
            </w:r>
          </w:p>
          <w:p>
            <w:pPr>
              <w:pStyle w:val="ListBullet"/>
              <w:spacing w:before="0" w:after="30" w:line="240" w:lineRule="auto"/>
            </w:pPr>
            <w:r>
              <w:rPr>
                <w:rFonts w:ascii="Arial" w:hAnsi="Arial"/>
                <w:color w:val="334155"/>
                <w:sz w:val="18"/>
              </w:rPr>
              <w:t>Split content into indications, criteria, site of care, renewal, exclusions, and notes.</w:t>
            </w:r>
          </w:p>
          <w:p>
            <w:pPr>
              <w:pStyle w:val="ListBullet"/>
              <w:spacing w:before="0" w:after="30" w:line="240" w:lineRule="auto"/>
            </w:pPr>
            <w:r>
              <w:rPr>
                <w:rFonts w:ascii="Arial" w:hAnsi="Arial"/>
                <w:color w:val="334155"/>
                <w:sz w:val="18"/>
              </w:rPr>
              <w:t>Store raw file, cleaned text, and citation metadata in a repeatable pipeline.</w:t>
            </w:r>
          </w:p>
        </w:tc>
      </w:tr>
      <w:tr>
        <w:trPr>
          <w:cantSplit/>
        </w:trPr>
        <w:tc>
          <w:tcPr>
            <w:tcW w:type="dxa" w:w="2088"/>
            <w:tcBorders>
              <w:start w:val="single" w:sz="6" w:color="D8E2EC"/>
              <w:top w:val="single" w:sz="6" w:color="D8E2EC"/>
              <w:end w:val="single" w:sz="6" w:color="D8E2EC"/>
              <w:bottom w:val="single" w:sz="6" w:color="D8E2EC"/>
            </w:tcBorders>
            <w:shd w:fill="F8FAFC"/>
            <w:vAlign w:val="center"/>
          </w:tcPr>
          <w:p>
            <w:pPr>
              <w:spacing w:after="0"/>
            </w:pPr>
            <w:r>
              <w:rPr>
                <w:rFonts w:ascii="Arial" w:hAnsi="Arial"/>
                <w:b/>
                <w:color w:val="0F172A"/>
                <w:sz w:val="18"/>
              </w:rPr>
              <w:t>Done when</w:t>
            </w:r>
          </w:p>
        </w:tc>
        <w:tc>
          <w:tcPr>
            <w:tcW w:type="dxa" w:w="7848"/>
            <w:tcBorders>
              <w:start w:val="single" w:sz="6" w:color="D8E2EC"/>
              <w:top w:val="single" w:sz="6" w:color="D8E2EC"/>
              <w:end w:val="single" w:sz="6" w:color="D8E2EC"/>
              <w:bottom w:val="single" w:sz="6" w:color="D8E2EC"/>
            </w:tcBorders>
            <w:vAlign w:val="center"/>
          </w:tcPr>
          <w:p>
            <w:pPr>
              <w:pStyle w:val="ListBullet"/>
              <w:spacing w:before="0" w:after="30" w:line="240" w:lineRule="auto"/>
            </w:pPr>
            <w:r>
              <w:rPr>
                <w:rFonts w:ascii="Arial" w:hAnsi="Arial"/>
                <w:color w:val="334155"/>
                <w:sz w:val="18"/>
              </w:rPr>
              <w:t>At least 12 high-value documents parse cleanly.</w:t>
            </w:r>
          </w:p>
          <w:p>
            <w:pPr>
              <w:pStyle w:val="ListBullet"/>
              <w:spacing w:before="0" w:after="30" w:line="240" w:lineRule="auto"/>
            </w:pPr>
            <w:r>
              <w:rPr>
                <w:rFonts w:ascii="Arial" w:hAnsi="Arial"/>
                <w:color w:val="334155"/>
                <w:sz w:val="18"/>
              </w:rPr>
              <w:t>Every extracted snippet can point back to its source page or section.</w:t>
            </w:r>
          </w:p>
          <w:p>
            <w:pPr>
              <w:pStyle w:val="ListBullet"/>
              <w:spacing w:before="0" w:after="30" w:line="240" w:lineRule="auto"/>
            </w:pPr>
            <w:r>
              <w:rPr>
                <w:rFonts w:ascii="Arial" w:hAnsi="Arial"/>
                <w:color w:val="334155"/>
                <w:sz w:val="18"/>
              </w:rPr>
              <w:t>The ingestion script can rerun without duplicating records.</w:t>
            </w:r>
          </w:p>
        </w:tc>
      </w:tr>
    </w:tbl>
    <w:p>
      <w:pPr>
        <w:spacing w:before="40" w:after="120" w:line="247" w:lineRule="auto"/>
      </w:pPr>
      <w:r>
        <w:rPr>
          <w:rFonts w:ascii="Arial" w:hAnsi="Arial"/>
          <w:b/>
          <w:color w:val="64748B"/>
          <w:sz w:val="18"/>
        </w:rPr>
        <w:t xml:space="preserve">Risk note: </w:t>
      </w:r>
      <w:r>
        <w:rPr>
          <w:rFonts w:ascii="Arial" w:hAnsi="Arial"/>
          <w:i/>
          <w:color w:val="64748B"/>
          <w:sz w:val="18"/>
        </w:rPr>
        <w:t>Manual curation is allowed; a reliable document set beats a flaky crawler in a hackathon.</w:t>
      </w:r>
    </w:p>
    <w:p>
      <w:r>
        <w:br w:type="page"/>
      </w:r>
    </w:p>
    <w:p>
      <w:pPr>
        <w:pStyle w:val="Heading1"/>
        <w:spacing w:before="0" w:after="80" w:line="259" w:lineRule="auto"/>
      </w:pPr>
      <w:r>
        <w:rPr>
          <w:rFonts w:ascii="Arial" w:hAnsi="Arial"/>
          <w:b w:val="0"/>
          <w:color w:val="334155"/>
          <w:sz w:val="21"/>
        </w:rPr>
        <w:t>3. Detailed sprint plan | foundation continued</w:t>
      </w:r>
    </w:p>
    <w:tbl>
      <w:tblPr>
        <w:tblW w:type="auto" w:w="0"/>
        <w:jc w:val="center"/>
        <w:tblLayout w:type="fixed"/>
        <w:tblLook w:firstColumn="1" w:firstRow="1" w:lastColumn="0" w:lastRow="0" w:noHBand="0" w:noVBand="1" w:val="04A0"/>
      </w:tblPr>
      <w:tblGrid>
        <w:gridCol w:w="9994"/>
      </w:tblGrid>
      <w:tr>
        <w:tc>
          <w:tcPr>
            <w:tcW w:type="dxa" w:w="9936"/>
            <w:shd w:fill="0891B2"/>
            <w:tcBorders>
              <w:start w:val="nil"/>
              <w:top w:val="nil"/>
              <w:end w:val="nil"/>
              <w:bottom w:val="nil"/>
            </w:tcBorders>
          </w:tcPr>
          <w:p>
            <w:pPr>
              <w:spacing w:before="0" w:after="0"/>
            </w:pPr>
            <w:r>
              <w:rPr>
                <w:rFonts w:ascii="Arial" w:hAnsi="Arial"/>
                <w:b/>
                <w:color w:val="FFFFFF"/>
                <w:sz w:val="20"/>
              </w:rPr>
              <w:t>SPRINT 2  |  Normalize into Policy DNA  |  Hours 10-18</w:t>
            </w:r>
          </w:p>
        </w:tc>
      </w:tr>
    </w:tbl>
    <w:tbl>
      <w:tblPr>
        <w:tblW w:type="auto" w:w="0"/>
        <w:jc w:val="center"/>
        <w:tblLayout w:type="fixed"/>
        <w:tblLook w:firstColumn="1" w:firstRow="1" w:lastColumn="0" w:lastRow="0" w:noHBand="0" w:noVBand="1" w:val="04A0"/>
        <w:tblCellMar>
          <w:top w:w="72" w:type="dxa"/>
          <w:start w:w="105" w:type="dxa"/>
          <w:bottom w:w="72" w:type="dxa"/>
          <w:end w:w="105" w:type="dxa"/>
        </w:tblCellMar>
      </w:tblPr>
      <w:tblGrid>
        <w:gridCol w:w="4997"/>
        <w:gridCol w:w="4997"/>
      </w:tblGrid>
      <w:tr>
        <w:trPr>
          <w:cantSplit/>
        </w:trPr>
        <w:tc>
          <w:tcPr>
            <w:tcW w:type="dxa" w:w="2088"/>
            <w:tcBorders>
              <w:start w:val="single" w:sz="6" w:color="D8E2EC"/>
              <w:top w:val="single" w:sz="6" w:color="D8E2EC"/>
              <w:end w:val="single" w:sz="6" w:color="D8E2EC"/>
              <w:bottom w:val="single" w:sz="6" w:color="D8E2EC"/>
            </w:tcBorders>
            <w:shd w:fill="F8FAFC"/>
            <w:vAlign w:val="center"/>
          </w:tcPr>
          <w:p>
            <w:pPr>
              <w:spacing w:after="0"/>
            </w:pPr>
            <w:r>
              <w:rPr>
                <w:rFonts w:ascii="Arial" w:hAnsi="Arial"/>
                <w:b/>
                <w:color w:val="0F172A"/>
                <w:sz w:val="18"/>
              </w:rPr>
              <w:t>Objective</w:t>
            </w:r>
          </w:p>
        </w:tc>
        <w:tc>
          <w:tcPr>
            <w:tcW w:type="dxa" w:w="7848"/>
            <w:tcBorders>
              <w:start w:val="single" w:sz="6" w:color="D8E2EC"/>
              <w:top w:val="single" w:sz="6" w:color="D8E2EC"/>
              <w:end w:val="single" w:sz="6" w:color="D8E2EC"/>
              <w:bottom w:val="single" w:sz="6" w:color="D8E2EC"/>
            </w:tcBorders>
            <w:vAlign w:val="center"/>
          </w:tcPr>
          <w:p>
            <w:pPr>
              <w:spacing w:after="0"/>
            </w:pPr>
            <w:r>
              <w:rPr>
                <w:rFonts w:ascii="Arial" w:hAnsi="Arial"/>
                <w:color w:val="334155"/>
                <w:sz w:val="18"/>
              </w:rPr>
              <w:t>Convert messy payer language into structured policy objects that can be compared and queried.</w:t>
            </w:r>
          </w:p>
        </w:tc>
      </w:tr>
      <w:tr>
        <w:trPr>
          <w:cantSplit/>
        </w:trPr>
        <w:tc>
          <w:tcPr>
            <w:tcW w:type="dxa" w:w="2088"/>
            <w:tcBorders>
              <w:start w:val="single" w:sz="6" w:color="D8E2EC"/>
              <w:top w:val="single" w:sz="6" w:color="D8E2EC"/>
              <w:end w:val="single" w:sz="6" w:color="D8E2EC"/>
              <w:bottom w:val="single" w:sz="6" w:color="D8E2EC"/>
            </w:tcBorders>
            <w:shd w:fill="F8FAFC"/>
            <w:vAlign w:val="center"/>
          </w:tcPr>
          <w:p>
            <w:pPr>
              <w:spacing w:after="0"/>
            </w:pPr>
            <w:r>
              <w:rPr>
                <w:rFonts w:ascii="Arial" w:hAnsi="Arial"/>
                <w:b/>
                <w:color w:val="0F172A"/>
                <w:sz w:val="18"/>
              </w:rPr>
              <w:t>Key tasks</w:t>
            </w:r>
          </w:p>
        </w:tc>
        <w:tc>
          <w:tcPr>
            <w:tcW w:type="dxa" w:w="7848"/>
            <w:tcBorders>
              <w:start w:val="single" w:sz="6" w:color="D8E2EC"/>
              <w:top w:val="single" w:sz="6" w:color="D8E2EC"/>
              <w:end w:val="single" w:sz="6" w:color="D8E2EC"/>
              <w:bottom w:val="single" w:sz="6" w:color="D8E2EC"/>
            </w:tcBorders>
            <w:vAlign w:val="center"/>
          </w:tcPr>
          <w:p>
            <w:pPr>
              <w:pStyle w:val="ListBullet"/>
              <w:spacing w:before="0" w:after="30" w:line="240" w:lineRule="auto"/>
            </w:pPr>
            <w:r>
              <w:rPr>
                <w:rFonts w:ascii="Arial" w:hAnsi="Arial"/>
                <w:color w:val="334155"/>
                <w:sz w:val="18"/>
              </w:rPr>
              <w:t>Map brand and generic names to a canonical drug key using RxNorm.</w:t>
            </w:r>
          </w:p>
          <w:p>
            <w:pPr>
              <w:pStyle w:val="ListBullet"/>
              <w:spacing w:before="0" w:after="30" w:line="240" w:lineRule="auto"/>
            </w:pPr>
            <w:r>
              <w:rPr>
                <w:rFonts w:ascii="Arial" w:hAnsi="Arial"/>
                <w:color w:val="334155"/>
                <w:sz w:val="18"/>
              </w:rPr>
              <w:t>Attach biosimilar and reference-product relationships using the FDA Purple Book.</w:t>
            </w:r>
          </w:p>
          <w:p>
            <w:pPr>
              <w:pStyle w:val="ListBullet"/>
              <w:spacing w:before="0" w:after="30" w:line="240" w:lineRule="auto"/>
            </w:pPr>
            <w:r>
              <w:rPr>
                <w:rFonts w:ascii="Arial" w:hAnsi="Arial"/>
                <w:color w:val="334155"/>
                <w:sz w:val="18"/>
              </w:rPr>
              <w:t>Add HCPCS or J-code context wherever the source policy exposes it.</w:t>
            </w:r>
          </w:p>
          <w:p>
            <w:pPr>
              <w:pStyle w:val="ListBullet"/>
              <w:spacing w:before="0" w:after="30" w:line="240" w:lineRule="auto"/>
            </w:pPr>
            <w:r>
              <w:rPr>
                <w:rFonts w:ascii="Arial" w:hAnsi="Arial"/>
                <w:color w:val="334155"/>
                <w:sz w:val="18"/>
              </w:rPr>
              <w:t>Populate structured fields for coverage status, prior failure, specialist requirement, labs, site of care, and reauthorization.</w:t>
            </w:r>
          </w:p>
        </w:tc>
      </w:tr>
      <w:tr>
        <w:trPr>
          <w:cantSplit/>
        </w:trPr>
        <w:tc>
          <w:tcPr>
            <w:tcW w:type="dxa" w:w="2088"/>
            <w:tcBorders>
              <w:start w:val="single" w:sz="6" w:color="D8E2EC"/>
              <w:top w:val="single" w:sz="6" w:color="D8E2EC"/>
              <w:end w:val="single" w:sz="6" w:color="D8E2EC"/>
              <w:bottom w:val="single" w:sz="6" w:color="D8E2EC"/>
            </w:tcBorders>
            <w:shd w:fill="F8FAFC"/>
            <w:vAlign w:val="center"/>
          </w:tcPr>
          <w:p>
            <w:pPr>
              <w:spacing w:after="0"/>
            </w:pPr>
            <w:r>
              <w:rPr>
                <w:rFonts w:ascii="Arial" w:hAnsi="Arial"/>
                <w:b/>
                <w:color w:val="0F172A"/>
                <w:sz w:val="18"/>
              </w:rPr>
              <w:t>Done when</w:t>
            </w:r>
          </w:p>
        </w:tc>
        <w:tc>
          <w:tcPr>
            <w:tcW w:type="dxa" w:w="7848"/>
            <w:tcBorders>
              <w:start w:val="single" w:sz="6" w:color="D8E2EC"/>
              <w:top w:val="single" w:sz="6" w:color="D8E2EC"/>
              <w:end w:val="single" w:sz="6" w:color="D8E2EC"/>
              <w:bottom w:val="single" w:sz="6" w:color="D8E2EC"/>
            </w:tcBorders>
            <w:vAlign w:val="center"/>
          </w:tcPr>
          <w:p>
            <w:pPr>
              <w:pStyle w:val="ListBullet"/>
              <w:spacing w:before="0" w:after="30" w:line="240" w:lineRule="auto"/>
            </w:pPr>
            <w:r>
              <w:rPr>
                <w:rFonts w:ascii="Arial" w:hAnsi="Arial"/>
                <w:color w:val="334155"/>
                <w:sz w:val="18"/>
              </w:rPr>
              <w:t>Every target document produces a Policy DNA JSON object.</w:t>
            </w:r>
          </w:p>
          <w:p>
            <w:pPr>
              <w:pStyle w:val="ListBullet"/>
              <w:spacing w:before="0" w:after="30" w:line="240" w:lineRule="auto"/>
            </w:pPr>
            <w:r>
              <w:rPr>
                <w:rFonts w:ascii="Arial" w:hAnsi="Arial"/>
                <w:color w:val="334155"/>
                <w:sz w:val="18"/>
              </w:rPr>
              <w:t>Drug synonyms resolve across payers without duplicate identities.</w:t>
            </w:r>
          </w:p>
          <w:p>
            <w:pPr>
              <w:pStyle w:val="ListBullet"/>
              <w:spacing w:before="0" w:after="30" w:line="240" w:lineRule="auto"/>
            </w:pPr>
            <w:r>
              <w:rPr>
                <w:rFonts w:ascii="Arial" w:hAnsi="Arial"/>
                <w:color w:val="334155"/>
                <w:sz w:val="18"/>
              </w:rPr>
              <w:t>Structured policy data is queryable in Postgres and ready for the UI layer.</w:t>
            </w:r>
          </w:p>
        </w:tc>
      </w:tr>
    </w:tbl>
    <w:p>
      <w:pPr>
        <w:spacing w:before="40" w:after="120" w:line="247" w:lineRule="auto"/>
      </w:pPr>
      <w:r>
        <w:rPr>
          <w:rFonts w:ascii="Arial" w:hAnsi="Arial"/>
          <w:b/>
          <w:color w:val="64748B"/>
          <w:sz w:val="18"/>
        </w:rPr>
        <w:t xml:space="preserve">Risk note: </w:t>
      </w:r>
      <w:r>
        <w:rPr>
          <w:rFonts w:ascii="Arial" w:hAnsi="Arial"/>
          <w:i/>
          <w:color w:val="64748B"/>
          <w:sz w:val="18"/>
        </w:rPr>
        <w:t>Do not overtrain a model here; rules plus light extraction are enough for the demo.</w:t>
      </w:r>
    </w:p>
    <w:p>
      <w:pPr>
        <w:spacing w:before="120" w:after="60"/>
      </w:pPr>
      <w:r>
        <w:rPr>
          <w:rFonts w:ascii="Arial" w:hAnsi="Arial"/>
          <w:b/>
          <w:color w:val="0F172A"/>
          <w:sz w:val="23"/>
        </w:rPr>
        <w:t>Minimum Policy DNA fields by the end of Sprint 2</w:t>
      </w:r>
    </w:p>
    <w:tbl>
      <w:tblPr>
        <w:tblW w:type="auto" w:w="0"/>
        <w:jc w:val="center"/>
        <w:tblLayout w:type="fixed"/>
        <w:tblLook w:firstColumn="1" w:firstRow="1" w:lastColumn="0" w:lastRow="0" w:noHBand="0" w:noVBand="1" w:val="04A0"/>
        <w:tblCellMar>
          <w:top w:w="75" w:type="dxa"/>
          <w:start w:w="100" w:type="dxa"/>
          <w:bottom w:w="75" w:type="dxa"/>
          <w:end w:w="100" w:type="dxa"/>
        </w:tblCellMar>
      </w:tblPr>
      <w:tblGrid>
        <w:gridCol w:w="4997"/>
        <w:gridCol w:w="4997"/>
      </w:tblGrid>
      <w:tr>
        <w:tc>
          <w:tcPr>
            <w:tcW w:type="dxa" w:w="3456"/>
            <w:tcBorders>
              <w:start w:val="single" w:sz="6" w:color="D8E2EC"/>
              <w:top w:val="single" w:sz="6" w:color="D8E2EC"/>
              <w:end w:val="single" w:sz="6" w:color="D8E2EC"/>
              <w:bottom w:val="single" w:sz="6" w:color="D8E2EC"/>
            </w:tcBorders>
            <w:shd w:fill="0F172A"/>
            <w:vAlign w:val="center"/>
          </w:tcPr>
          <w:p>
            <w:pPr>
              <w:spacing w:before="0" w:after="0"/>
              <w:jc w:val="center"/>
            </w:pPr>
            <w:r>
              <w:rPr>
                <w:rFonts w:ascii="Arial" w:hAnsi="Arial"/>
                <w:b/>
                <w:color w:val="FFFFFF"/>
                <w:sz w:val="18"/>
              </w:rPr>
              <w:t>Field</w:t>
            </w:r>
          </w:p>
        </w:tc>
        <w:tc>
          <w:tcPr>
            <w:tcW w:type="dxa" w:w="6480"/>
            <w:tcBorders>
              <w:start w:val="single" w:sz="6" w:color="D8E2EC"/>
              <w:top w:val="single" w:sz="6" w:color="D8E2EC"/>
              <w:end w:val="single" w:sz="6" w:color="D8E2EC"/>
              <w:bottom w:val="single" w:sz="6" w:color="D8E2EC"/>
            </w:tcBorders>
            <w:shd w:fill="0F172A"/>
            <w:vAlign w:val="center"/>
          </w:tcPr>
          <w:p>
            <w:pPr>
              <w:spacing w:before="0" w:after="0"/>
              <w:jc w:val="center"/>
            </w:pPr>
            <w:r>
              <w:rPr>
                <w:rFonts w:ascii="Arial" w:hAnsi="Arial"/>
                <w:b/>
                <w:color w:val="FFFFFF"/>
                <w:sz w:val="18"/>
              </w:rPr>
              <w:t>Why it matters</w:t>
            </w:r>
          </w:p>
        </w:tc>
      </w:tr>
      <w:tr>
        <w:tc>
          <w:tcPr>
            <w:tcW w:type="dxa" w:w="3456"/>
            <w:tcBorders>
              <w:start w:val="single" w:sz="6" w:color="D8E2EC"/>
              <w:top w:val="single" w:sz="6" w:color="D8E2EC"/>
              <w:end w:val="single" w:sz="6" w:color="D8E2EC"/>
              <w:bottom w:val="single" w:sz="6" w:color="D8E2EC"/>
            </w:tcBorders>
            <w:shd w:fill="F8FAFC"/>
          </w:tcPr>
          <w:p>
            <w:pPr>
              <w:spacing w:after="0"/>
            </w:pPr>
            <w:r>
              <w:rPr>
                <w:rFonts w:ascii="Arial" w:hAnsi="Arial"/>
                <w:b/>
                <w:color w:val="334155"/>
                <w:sz w:val="18"/>
              </w:rPr>
              <w:t>Canonical drug key</w:t>
            </w:r>
          </w:p>
        </w:tc>
        <w:tc>
          <w:tcPr>
            <w:tcW w:type="dxa" w:w="6480"/>
            <w:tcBorders>
              <w:start w:val="single" w:sz="6" w:color="D8E2EC"/>
              <w:top w:val="single" w:sz="6" w:color="D8E2EC"/>
              <w:end w:val="single" w:sz="6" w:color="D8E2EC"/>
              <w:bottom w:val="single" w:sz="6" w:color="D8E2EC"/>
            </w:tcBorders>
          </w:tcPr>
          <w:p>
            <w:pPr>
              <w:spacing w:after="0"/>
            </w:pPr>
            <w:r>
              <w:rPr>
                <w:rFonts w:ascii="Arial" w:hAnsi="Arial"/>
                <w:b w:val="0"/>
                <w:color w:val="334155"/>
                <w:sz w:val="18"/>
              </w:rPr>
              <w:t>Unifies brand, generic, and biosimilar references across payer wording.</w:t>
            </w:r>
          </w:p>
        </w:tc>
      </w:tr>
      <w:tr>
        <w:tc>
          <w:tcPr>
            <w:tcW w:type="dxa" w:w="3456"/>
            <w:tcBorders>
              <w:start w:val="single" w:sz="6" w:color="D8E2EC"/>
              <w:top w:val="single" w:sz="6" w:color="D8E2EC"/>
              <w:end w:val="single" w:sz="6" w:color="D8E2EC"/>
              <w:bottom w:val="single" w:sz="6" w:color="D8E2EC"/>
            </w:tcBorders>
            <w:shd w:fill="F8FAFC"/>
          </w:tcPr>
          <w:p>
            <w:pPr>
              <w:spacing w:after="0"/>
            </w:pPr>
            <w:r>
              <w:rPr>
                <w:rFonts w:ascii="Arial" w:hAnsi="Arial"/>
                <w:b/>
                <w:color w:val="334155"/>
                <w:sz w:val="18"/>
              </w:rPr>
              <w:t>Payer + plan metadata</w:t>
            </w:r>
          </w:p>
        </w:tc>
        <w:tc>
          <w:tcPr>
            <w:tcW w:type="dxa" w:w="6480"/>
            <w:tcBorders>
              <w:start w:val="single" w:sz="6" w:color="D8E2EC"/>
              <w:top w:val="single" w:sz="6" w:color="D8E2EC"/>
              <w:end w:val="single" w:sz="6" w:color="D8E2EC"/>
              <w:bottom w:val="single" w:sz="6" w:color="D8E2EC"/>
            </w:tcBorders>
          </w:tcPr>
          <w:p>
            <w:pPr>
              <w:spacing w:after="0"/>
            </w:pPr>
            <w:r>
              <w:rPr>
                <w:rFonts w:ascii="Arial" w:hAnsi="Arial"/>
                <w:b w:val="0"/>
                <w:color w:val="334155"/>
                <w:sz w:val="18"/>
              </w:rPr>
              <w:t>Makes comparisons meaningful by storing payer, plan type, and effective date.</w:t>
            </w:r>
          </w:p>
        </w:tc>
      </w:tr>
      <w:tr>
        <w:tc>
          <w:tcPr>
            <w:tcW w:type="dxa" w:w="3456"/>
            <w:tcBorders>
              <w:start w:val="single" w:sz="6" w:color="D8E2EC"/>
              <w:top w:val="single" w:sz="6" w:color="D8E2EC"/>
              <w:end w:val="single" w:sz="6" w:color="D8E2EC"/>
              <w:bottom w:val="single" w:sz="6" w:color="D8E2EC"/>
            </w:tcBorders>
            <w:shd w:fill="F8FAFC"/>
          </w:tcPr>
          <w:p>
            <w:pPr>
              <w:spacing w:after="0"/>
            </w:pPr>
            <w:r>
              <w:rPr>
                <w:rFonts w:ascii="Arial" w:hAnsi="Arial"/>
                <w:b/>
                <w:color w:val="334155"/>
                <w:sz w:val="18"/>
              </w:rPr>
              <w:t>Coverage status</w:t>
            </w:r>
          </w:p>
        </w:tc>
        <w:tc>
          <w:tcPr>
            <w:tcW w:type="dxa" w:w="6480"/>
            <w:tcBorders>
              <w:start w:val="single" w:sz="6" w:color="D8E2EC"/>
              <w:top w:val="single" w:sz="6" w:color="D8E2EC"/>
              <w:end w:val="single" w:sz="6" w:color="D8E2EC"/>
              <w:bottom w:val="single" w:sz="6" w:color="D8E2EC"/>
            </w:tcBorders>
          </w:tcPr>
          <w:p>
            <w:pPr>
              <w:spacing w:after="0"/>
            </w:pPr>
            <w:r>
              <w:rPr>
                <w:rFonts w:ascii="Arial" w:hAnsi="Arial"/>
                <w:b w:val="0"/>
                <w:color w:val="334155"/>
                <w:sz w:val="18"/>
              </w:rPr>
              <w:t>Distinguishes covered, conditional, preferred, nonpreferred, or unclear status.</w:t>
            </w:r>
          </w:p>
        </w:tc>
      </w:tr>
      <w:tr>
        <w:tc>
          <w:tcPr>
            <w:tcW w:type="dxa" w:w="3456"/>
            <w:tcBorders>
              <w:start w:val="single" w:sz="6" w:color="D8E2EC"/>
              <w:top w:val="single" w:sz="6" w:color="D8E2EC"/>
              <w:end w:val="single" w:sz="6" w:color="D8E2EC"/>
              <w:bottom w:val="single" w:sz="6" w:color="D8E2EC"/>
            </w:tcBorders>
            <w:shd w:fill="F8FAFC"/>
          </w:tcPr>
          <w:p>
            <w:pPr>
              <w:spacing w:after="0"/>
            </w:pPr>
            <w:r>
              <w:rPr>
                <w:rFonts w:ascii="Arial" w:hAnsi="Arial"/>
                <w:b/>
                <w:color w:val="334155"/>
                <w:sz w:val="18"/>
              </w:rPr>
              <w:t>Clinical criteria</w:t>
            </w:r>
          </w:p>
        </w:tc>
        <w:tc>
          <w:tcPr>
            <w:tcW w:type="dxa" w:w="6480"/>
            <w:tcBorders>
              <w:start w:val="single" w:sz="6" w:color="D8E2EC"/>
              <w:top w:val="single" w:sz="6" w:color="D8E2EC"/>
              <w:end w:val="single" w:sz="6" w:color="D8E2EC"/>
              <w:bottom w:val="single" w:sz="6" w:color="D8E2EC"/>
            </w:tcBorders>
          </w:tcPr>
          <w:p>
            <w:pPr>
              <w:spacing w:after="0"/>
            </w:pPr>
            <w:r>
              <w:rPr>
                <w:rFonts w:ascii="Arial" w:hAnsi="Arial"/>
                <w:b w:val="0"/>
                <w:color w:val="334155"/>
                <w:sz w:val="18"/>
              </w:rPr>
              <w:t>Captures prior failure, diagnosis, specialty, and lab requirements.</w:t>
            </w:r>
          </w:p>
        </w:tc>
      </w:tr>
      <w:tr>
        <w:tc>
          <w:tcPr>
            <w:tcW w:type="dxa" w:w="3456"/>
            <w:tcBorders>
              <w:start w:val="single" w:sz="6" w:color="D8E2EC"/>
              <w:top w:val="single" w:sz="6" w:color="D8E2EC"/>
              <w:end w:val="single" w:sz="6" w:color="D8E2EC"/>
              <w:bottom w:val="single" w:sz="6" w:color="D8E2EC"/>
            </w:tcBorders>
            <w:shd w:fill="F8FAFC"/>
          </w:tcPr>
          <w:p>
            <w:pPr>
              <w:spacing w:after="0"/>
            </w:pPr>
            <w:r>
              <w:rPr>
                <w:rFonts w:ascii="Arial" w:hAnsi="Arial"/>
                <w:b/>
                <w:color w:val="334155"/>
                <w:sz w:val="18"/>
              </w:rPr>
              <w:t>Operational rules</w:t>
            </w:r>
          </w:p>
        </w:tc>
        <w:tc>
          <w:tcPr>
            <w:tcW w:type="dxa" w:w="6480"/>
            <w:tcBorders>
              <w:start w:val="single" w:sz="6" w:color="D8E2EC"/>
              <w:top w:val="single" w:sz="6" w:color="D8E2EC"/>
              <w:end w:val="single" w:sz="6" w:color="D8E2EC"/>
              <w:bottom w:val="single" w:sz="6" w:color="D8E2EC"/>
            </w:tcBorders>
          </w:tcPr>
          <w:p>
            <w:pPr>
              <w:spacing w:after="0"/>
            </w:pPr>
            <w:r>
              <w:rPr>
                <w:rFonts w:ascii="Arial" w:hAnsi="Arial"/>
                <w:b w:val="0"/>
                <w:color w:val="334155"/>
                <w:sz w:val="18"/>
              </w:rPr>
              <w:t>Stores site-of-care, renewal, dosing, or documentation rules when visible.</w:t>
            </w:r>
          </w:p>
        </w:tc>
      </w:tr>
      <w:tr>
        <w:tc>
          <w:tcPr>
            <w:tcW w:type="dxa" w:w="3456"/>
            <w:tcBorders>
              <w:start w:val="single" w:sz="6" w:color="D8E2EC"/>
              <w:top w:val="single" w:sz="6" w:color="D8E2EC"/>
              <w:end w:val="single" w:sz="6" w:color="D8E2EC"/>
              <w:bottom w:val="single" w:sz="6" w:color="D8E2EC"/>
            </w:tcBorders>
            <w:shd w:fill="F8FAFC"/>
          </w:tcPr>
          <w:p>
            <w:pPr>
              <w:spacing w:after="0"/>
            </w:pPr>
            <w:r>
              <w:rPr>
                <w:rFonts w:ascii="Arial" w:hAnsi="Arial"/>
                <w:b/>
                <w:color w:val="334155"/>
                <w:sz w:val="18"/>
              </w:rPr>
              <w:t>Evidence citations</w:t>
            </w:r>
          </w:p>
        </w:tc>
        <w:tc>
          <w:tcPr>
            <w:tcW w:type="dxa" w:w="6480"/>
            <w:tcBorders>
              <w:start w:val="single" w:sz="6" w:color="D8E2EC"/>
              <w:top w:val="single" w:sz="6" w:color="D8E2EC"/>
              <w:end w:val="single" w:sz="6" w:color="D8E2EC"/>
              <w:bottom w:val="single" w:sz="6" w:color="D8E2EC"/>
            </w:tcBorders>
          </w:tcPr>
          <w:p>
            <w:pPr>
              <w:spacing w:after="0"/>
            </w:pPr>
            <w:r>
              <w:rPr>
                <w:rFonts w:ascii="Arial" w:hAnsi="Arial"/>
                <w:b w:val="0"/>
                <w:color w:val="334155"/>
                <w:sz w:val="18"/>
              </w:rPr>
              <w:t>Keeps every extracted fact tied to a page or section for judge trust.</w:t>
            </w:r>
          </w:p>
        </w:tc>
      </w:tr>
    </w:tbl>
    <w:p>
      <w:pPr>
        <w:spacing w:after="80" w:before="0"/>
      </w:pPr>
    </w:p>
    <w:tbl>
      <w:tblPr>
        <w:tblW w:type="auto" w:w="0"/>
        <w:jc w:val="center"/>
        <w:tblLayout w:type="fixed"/>
        <w:tblLook w:firstColumn="1" w:firstRow="1" w:lastColumn="0" w:lastRow="0" w:noHBand="0" w:noVBand="1" w:val="04A0"/>
        <w:tblCellMar>
          <w:top w:w="90" w:type="dxa"/>
          <w:start w:w="120" w:type="dxa"/>
          <w:bottom w:w="90" w:type="dxa"/>
          <w:end w:w="120" w:type="dxa"/>
        </w:tblCellMar>
      </w:tblPr>
      <w:tblGrid>
        <w:gridCol w:w="9994"/>
      </w:tblGrid>
      <w:tr>
        <w:tc>
          <w:tcPr>
            <w:tcW w:type="dxa" w:w="9936"/>
            <w:shd w:fill="F8FAFC"/>
            <w:tcBorders>
              <w:start w:val="single" w:sz="8" w:color="CFE0F5"/>
              <w:top w:val="single" w:sz="8" w:color="CFE0F5"/>
              <w:end w:val="single" w:sz="8" w:color="CFE0F5"/>
              <w:bottom w:val="single" w:sz="8" w:color="CFE0F5"/>
            </w:tcBorders>
            <w:vAlign w:val="center"/>
          </w:tcPr>
          <w:p>
            <w:pPr>
              <w:spacing w:after="40"/>
            </w:pPr>
            <w:r>
              <w:rPr>
                <w:rFonts w:ascii="Arial" w:hAnsi="Arial"/>
                <w:b/>
                <w:color w:val="0F172A"/>
                <w:sz w:val="21"/>
              </w:rPr>
              <w:t>Fallback extraction rule</w:t>
            </w:r>
          </w:p>
          <w:p>
            <w:pPr>
              <w:spacing w:before="0" w:after="0" w:line="259" w:lineRule="auto"/>
            </w:pPr>
            <w:r>
              <w:rPr>
                <w:rFonts w:ascii="Arial" w:hAnsi="Arial"/>
                <w:color w:val="334155"/>
                <w:sz w:val="20"/>
              </w:rPr>
              <w:t>If one payer policy resists clean parsing, hand-curate the core fields for the highest-value documents instead of burning hours on perfect automation.</w:t>
            </w:r>
          </w:p>
        </w:tc>
      </w:tr>
    </w:tbl>
    <w:p>
      <w:r>
        <w:br w:type="page"/>
      </w:r>
    </w:p>
    <w:p>
      <w:pPr>
        <w:pStyle w:val="Heading1"/>
        <w:spacing w:before="0" w:after="80" w:line="259" w:lineRule="auto"/>
      </w:pPr>
      <w:r>
        <w:rPr>
          <w:rFonts w:ascii="Arial" w:hAnsi="Arial"/>
          <w:b w:val="0"/>
          <w:color w:val="334155"/>
          <w:sz w:val="21"/>
        </w:rPr>
        <w:t>4. Detailed sprint plan | user-facing intelligence</w:t>
      </w:r>
    </w:p>
    <w:tbl>
      <w:tblPr>
        <w:tblW w:type="auto" w:w="0"/>
        <w:jc w:val="center"/>
        <w:tblLayout w:type="fixed"/>
        <w:tblLook w:firstColumn="1" w:firstRow="1" w:lastColumn="0" w:lastRow="0" w:noHBand="0" w:noVBand="1" w:val="04A0"/>
      </w:tblPr>
      <w:tblGrid>
        <w:gridCol w:w="9994"/>
      </w:tblGrid>
      <w:tr>
        <w:tc>
          <w:tcPr>
            <w:tcW w:type="dxa" w:w="9936"/>
            <w:shd w:fill="2563EB"/>
            <w:tcBorders>
              <w:start w:val="nil"/>
              <w:top w:val="nil"/>
              <w:end w:val="nil"/>
              <w:bottom w:val="nil"/>
            </w:tcBorders>
          </w:tcPr>
          <w:p>
            <w:pPr>
              <w:spacing w:before="0" w:after="0"/>
            </w:pPr>
            <w:r>
              <w:rPr>
                <w:rFonts w:ascii="Arial" w:hAnsi="Arial"/>
                <w:b/>
                <w:color w:val="FFFFFF"/>
                <w:sz w:val="20"/>
              </w:rPr>
              <w:t>SPRINT 3  |  Coverage Matrix + search  |  Hours 18-26</w:t>
            </w:r>
          </w:p>
        </w:tc>
      </w:tr>
    </w:tbl>
    <w:tbl>
      <w:tblPr>
        <w:tblW w:type="auto" w:w="0"/>
        <w:jc w:val="center"/>
        <w:tblLayout w:type="fixed"/>
        <w:tblLook w:firstColumn="1" w:firstRow="1" w:lastColumn="0" w:lastRow="0" w:noHBand="0" w:noVBand="1" w:val="04A0"/>
        <w:tblCellMar>
          <w:top w:w="72" w:type="dxa"/>
          <w:start w:w="105" w:type="dxa"/>
          <w:bottom w:w="72" w:type="dxa"/>
          <w:end w:w="105" w:type="dxa"/>
        </w:tblCellMar>
      </w:tblPr>
      <w:tblGrid>
        <w:gridCol w:w="4997"/>
        <w:gridCol w:w="4997"/>
      </w:tblGrid>
      <w:tr>
        <w:trPr>
          <w:cantSplit/>
        </w:trPr>
        <w:tc>
          <w:tcPr>
            <w:tcW w:type="dxa" w:w="2088"/>
            <w:tcBorders>
              <w:start w:val="single" w:sz="6" w:color="D8E2EC"/>
              <w:top w:val="single" w:sz="6" w:color="D8E2EC"/>
              <w:end w:val="single" w:sz="6" w:color="D8E2EC"/>
              <w:bottom w:val="single" w:sz="6" w:color="D8E2EC"/>
            </w:tcBorders>
            <w:shd w:fill="F8FAFC"/>
            <w:vAlign w:val="center"/>
          </w:tcPr>
          <w:p>
            <w:pPr>
              <w:spacing w:after="0"/>
            </w:pPr>
            <w:r>
              <w:rPr>
                <w:rFonts w:ascii="Arial" w:hAnsi="Arial"/>
                <w:b/>
                <w:color w:val="0F172A"/>
                <w:sz w:val="18"/>
              </w:rPr>
              <w:t>Objective</w:t>
            </w:r>
          </w:p>
        </w:tc>
        <w:tc>
          <w:tcPr>
            <w:tcW w:type="dxa" w:w="7848"/>
            <w:tcBorders>
              <w:start w:val="single" w:sz="6" w:color="D8E2EC"/>
              <w:top w:val="single" w:sz="6" w:color="D8E2EC"/>
              <w:end w:val="single" w:sz="6" w:color="D8E2EC"/>
              <w:bottom w:val="single" w:sz="6" w:color="D8E2EC"/>
            </w:tcBorders>
            <w:vAlign w:val="center"/>
          </w:tcPr>
          <w:p>
            <w:pPr>
              <w:spacing w:after="0"/>
            </w:pPr>
            <w:r>
              <w:rPr>
                <w:rFonts w:ascii="Arial" w:hAnsi="Arial"/>
                <w:color w:val="334155"/>
                <w:sz w:val="18"/>
              </w:rPr>
              <w:t>Ship the first judge-visible surface: a fast comparison workspace with evidence and effective dates.</w:t>
            </w:r>
          </w:p>
        </w:tc>
      </w:tr>
      <w:tr>
        <w:trPr>
          <w:cantSplit/>
        </w:trPr>
        <w:tc>
          <w:tcPr>
            <w:tcW w:type="dxa" w:w="2088"/>
            <w:tcBorders>
              <w:start w:val="single" w:sz="6" w:color="D8E2EC"/>
              <w:top w:val="single" w:sz="6" w:color="D8E2EC"/>
              <w:end w:val="single" w:sz="6" w:color="D8E2EC"/>
              <w:bottom w:val="single" w:sz="6" w:color="D8E2EC"/>
            </w:tcBorders>
            <w:shd w:fill="F8FAFC"/>
            <w:vAlign w:val="center"/>
          </w:tcPr>
          <w:p>
            <w:pPr>
              <w:spacing w:after="0"/>
            </w:pPr>
            <w:r>
              <w:rPr>
                <w:rFonts w:ascii="Arial" w:hAnsi="Arial"/>
                <w:b/>
                <w:color w:val="0F172A"/>
                <w:sz w:val="18"/>
              </w:rPr>
              <w:t>Key tasks</w:t>
            </w:r>
          </w:p>
        </w:tc>
        <w:tc>
          <w:tcPr>
            <w:tcW w:type="dxa" w:w="7848"/>
            <w:tcBorders>
              <w:start w:val="single" w:sz="6" w:color="D8E2EC"/>
              <w:top w:val="single" w:sz="6" w:color="D8E2EC"/>
              <w:end w:val="single" w:sz="6" w:color="D8E2EC"/>
              <w:bottom w:val="single" w:sz="6" w:color="D8E2EC"/>
            </w:tcBorders>
            <w:vAlign w:val="center"/>
          </w:tcPr>
          <w:p>
            <w:pPr>
              <w:pStyle w:val="ListBullet"/>
              <w:spacing w:before="0" w:after="30" w:line="240" w:lineRule="auto"/>
            </w:pPr>
            <w:r>
              <w:rPr>
                <w:rFonts w:ascii="Arial" w:hAnsi="Arial"/>
                <w:color w:val="334155"/>
                <w:sz w:val="18"/>
              </w:rPr>
              <w:t>Build a landing page with three paths: Compare a drug, Run a case, See what changed.</w:t>
            </w:r>
          </w:p>
          <w:p>
            <w:pPr>
              <w:pStyle w:val="ListBullet"/>
              <w:spacing w:before="0" w:after="30" w:line="240" w:lineRule="auto"/>
            </w:pPr>
            <w:r>
              <w:rPr>
                <w:rFonts w:ascii="Arial" w:hAnsi="Arial"/>
                <w:color w:val="334155"/>
                <w:sz w:val="18"/>
              </w:rPr>
              <w:t>Build the Coverage Matrix with status badges and quick criteria summaries.</w:t>
            </w:r>
          </w:p>
          <w:p>
            <w:pPr>
              <w:pStyle w:val="ListBullet"/>
              <w:spacing w:before="0" w:after="30" w:line="240" w:lineRule="auto"/>
            </w:pPr>
            <w:r>
              <w:rPr>
                <w:rFonts w:ascii="Arial" w:hAnsi="Arial"/>
                <w:color w:val="334155"/>
                <w:sz w:val="18"/>
              </w:rPr>
              <w:t>Create a policy detail drawer with citations, version metadata, and key criteria chips.</w:t>
            </w:r>
          </w:p>
          <w:p>
            <w:pPr>
              <w:pStyle w:val="ListBullet"/>
              <w:spacing w:before="0" w:after="30" w:line="240" w:lineRule="auto"/>
            </w:pPr>
            <w:r>
              <w:rPr>
                <w:rFonts w:ascii="Arial" w:hAnsi="Arial"/>
                <w:color w:val="334155"/>
                <w:sz w:val="18"/>
              </w:rPr>
              <w:t>Add filters for payer, drug family, preferred product, and restriction type.</w:t>
            </w:r>
          </w:p>
        </w:tc>
      </w:tr>
      <w:tr>
        <w:trPr>
          <w:cantSplit/>
        </w:trPr>
        <w:tc>
          <w:tcPr>
            <w:tcW w:type="dxa" w:w="2088"/>
            <w:tcBorders>
              <w:start w:val="single" w:sz="6" w:color="D8E2EC"/>
              <w:top w:val="single" w:sz="6" w:color="D8E2EC"/>
              <w:end w:val="single" w:sz="6" w:color="D8E2EC"/>
              <w:bottom w:val="single" w:sz="6" w:color="D8E2EC"/>
            </w:tcBorders>
            <w:shd w:fill="F8FAFC"/>
            <w:vAlign w:val="center"/>
          </w:tcPr>
          <w:p>
            <w:pPr>
              <w:spacing w:after="0"/>
            </w:pPr>
            <w:r>
              <w:rPr>
                <w:rFonts w:ascii="Arial" w:hAnsi="Arial"/>
                <w:b/>
                <w:color w:val="0F172A"/>
                <w:sz w:val="18"/>
              </w:rPr>
              <w:t>Done when</w:t>
            </w:r>
          </w:p>
        </w:tc>
        <w:tc>
          <w:tcPr>
            <w:tcW w:type="dxa" w:w="7848"/>
            <w:tcBorders>
              <w:start w:val="single" w:sz="6" w:color="D8E2EC"/>
              <w:top w:val="single" w:sz="6" w:color="D8E2EC"/>
              <w:end w:val="single" w:sz="6" w:color="D8E2EC"/>
              <w:bottom w:val="single" w:sz="6" w:color="D8E2EC"/>
            </w:tcBorders>
            <w:vAlign w:val="center"/>
          </w:tcPr>
          <w:p>
            <w:pPr>
              <w:pStyle w:val="ListBullet"/>
              <w:spacing w:before="0" w:after="30" w:line="240" w:lineRule="auto"/>
            </w:pPr>
            <w:r>
              <w:rPr>
                <w:rFonts w:ascii="Arial" w:hAnsi="Arial"/>
                <w:color w:val="334155"/>
                <w:sz w:val="18"/>
              </w:rPr>
              <w:t>A judge can answer 'Which plans cover Drug X?' in one interaction.</w:t>
            </w:r>
          </w:p>
          <w:p>
            <w:pPr>
              <w:pStyle w:val="ListBullet"/>
              <w:spacing w:before="0" w:after="30" w:line="240" w:lineRule="auto"/>
            </w:pPr>
            <w:r>
              <w:rPr>
                <w:rFonts w:ascii="Arial" w:hAnsi="Arial"/>
                <w:color w:val="334155"/>
                <w:sz w:val="18"/>
              </w:rPr>
              <w:t>Every visible answer shows source evidence and effective date.</w:t>
            </w:r>
          </w:p>
          <w:p>
            <w:pPr>
              <w:pStyle w:val="ListBullet"/>
              <w:spacing w:before="0" w:after="30" w:line="240" w:lineRule="auto"/>
            </w:pPr>
            <w:r>
              <w:rPr>
                <w:rFonts w:ascii="Arial" w:hAnsi="Arial"/>
                <w:color w:val="334155"/>
                <w:sz w:val="18"/>
              </w:rPr>
              <w:t>The UI feels premium, clear, and fast enough for live demo use.</w:t>
            </w:r>
          </w:p>
        </w:tc>
      </w:tr>
    </w:tbl>
    <w:p>
      <w:pPr>
        <w:spacing w:before="40" w:after="120" w:line="247" w:lineRule="auto"/>
      </w:pPr>
      <w:r>
        <w:rPr>
          <w:rFonts w:ascii="Arial" w:hAnsi="Arial"/>
          <w:b/>
          <w:color w:val="64748B"/>
          <w:sz w:val="18"/>
        </w:rPr>
        <w:t xml:space="preserve">Risk note: </w:t>
      </w:r>
      <w:r>
        <w:rPr>
          <w:rFonts w:ascii="Arial" w:hAnsi="Arial"/>
          <w:i/>
          <w:color w:val="64748B"/>
          <w:sz w:val="18"/>
        </w:rPr>
        <w:t>If data is sparse, narrow the matrix to the strongest drug families instead of showing weak rows.</w:t>
      </w:r>
    </w:p>
    <w:tbl>
      <w:tblPr>
        <w:tblW w:type="auto" w:w="0"/>
        <w:jc w:val="center"/>
        <w:tblLayout w:type="fixed"/>
        <w:tblLook w:firstColumn="1" w:firstRow="1" w:lastColumn="0" w:lastRow="0" w:noHBand="0" w:noVBand="1" w:val="04A0"/>
      </w:tblPr>
      <w:tblGrid>
        <w:gridCol w:w="9994"/>
      </w:tblGrid>
      <w:tr>
        <w:tc>
          <w:tcPr>
            <w:tcW w:type="dxa" w:w="9936"/>
            <w:shd w:fill="7C3AED"/>
            <w:tcBorders>
              <w:start w:val="nil"/>
              <w:top w:val="nil"/>
              <w:end w:val="nil"/>
              <w:bottom w:val="nil"/>
            </w:tcBorders>
          </w:tcPr>
          <w:p>
            <w:pPr>
              <w:spacing w:before="0" w:after="0"/>
            </w:pPr>
            <w:r>
              <w:rPr>
                <w:rFonts w:ascii="Arial" w:hAnsi="Arial"/>
                <w:b/>
                <w:color w:val="FFFFFF"/>
                <w:sz w:val="20"/>
              </w:rPr>
              <w:t>SPRINT 4  |  Policy Fit Simulator + evidence pack  |  Hours 26-34</w:t>
            </w:r>
          </w:p>
        </w:tc>
      </w:tr>
    </w:tbl>
    <w:tbl>
      <w:tblPr>
        <w:tblW w:type="auto" w:w="0"/>
        <w:jc w:val="center"/>
        <w:tblLayout w:type="fixed"/>
        <w:tblLook w:firstColumn="1" w:firstRow="1" w:lastColumn="0" w:lastRow="0" w:noHBand="0" w:noVBand="1" w:val="04A0"/>
        <w:tblCellMar>
          <w:top w:w="72" w:type="dxa"/>
          <w:start w:w="105" w:type="dxa"/>
          <w:bottom w:w="72" w:type="dxa"/>
          <w:end w:w="105" w:type="dxa"/>
        </w:tblCellMar>
      </w:tblPr>
      <w:tblGrid>
        <w:gridCol w:w="4997"/>
        <w:gridCol w:w="4997"/>
      </w:tblGrid>
      <w:tr>
        <w:trPr>
          <w:cantSplit/>
        </w:trPr>
        <w:tc>
          <w:tcPr>
            <w:tcW w:type="dxa" w:w="2088"/>
            <w:tcBorders>
              <w:start w:val="single" w:sz="6" w:color="D8E2EC"/>
              <w:top w:val="single" w:sz="6" w:color="D8E2EC"/>
              <w:end w:val="single" w:sz="6" w:color="D8E2EC"/>
              <w:bottom w:val="single" w:sz="6" w:color="D8E2EC"/>
            </w:tcBorders>
            <w:shd w:fill="F8FAFC"/>
            <w:vAlign w:val="center"/>
          </w:tcPr>
          <w:p>
            <w:pPr>
              <w:spacing w:after="0"/>
            </w:pPr>
            <w:r>
              <w:rPr>
                <w:rFonts w:ascii="Arial" w:hAnsi="Arial"/>
                <w:b/>
                <w:color w:val="0F172A"/>
                <w:sz w:val="18"/>
              </w:rPr>
              <w:t>Objective</w:t>
            </w:r>
          </w:p>
        </w:tc>
        <w:tc>
          <w:tcPr>
            <w:tcW w:type="dxa" w:w="7848"/>
            <w:tcBorders>
              <w:start w:val="single" w:sz="6" w:color="D8E2EC"/>
              <w:top w:val="single" w:sz="6" w:color="D8E2EC"/>
              <w:end w:val="single" w:sz="6" w:color="D8E2EC"/>
              <w:bottom w:val="single" w:sz="6" w:color="D8E2EC"/>
            </w:tcBorders>
            <w:vAlign w:val="center"/>
          </w:tcPr>
          <w:p>
            <w:pPr>
              <w:spacing w:after="0"/>
            </w:pPr>
            <w:r>
              <w:rPr>
                <w:rFonts w:ascii="Arial" w:hAnsi="Arial"/>
                <w:color w:val="334155"/>
                <w:sz w:val="18"/>
              </w:rPr>
              <w:t>Make the product actionable by showing what blocks approval for a synthetic patient case.</w:t>
            </w:r>
          </w:p>
        </w:tc>
      </w:tr>
      <w:tr>
        <w:trPr>
          <w:cantSplit/>
        </w:trPr>
        <w:tc>
          <w:tcPr>
            <w:tcW w:type="dxa" w:w="2088"/>
            <w:tcBorders>
              <w:start w:val="single" w:sz="6" w:color="D8E2EC"/>
              <w:top w:val="single" w:sz="6" w:color="D8E2EC"/>
              <w:end w:val="single" w:sz="6" w:color="D8E2EC"/>
              <w:bottom w:val="single" w:sz="6" w:color="D8E2EC"/>
            </w:tcBorders>
            <w:shd w:fill="F8FAFC"/>
            <w:vAlign w:val="center"/>
          </w:tcPr>
          <w:p>
            <w:pPr>
              <w:spacing w:after="0"/>
            </w:pPr>
            <w:r>
              <w:rPr>
                <w:rFonts w:ascii="Arial" w:hAnsi="Arial"/>
                <w:b/>
                <w:color w:val="0F172A"/>
                <w:sz w:val="18"/>
              </w:rPr>
              <w:t>Key tasks</w:t>
            </w:r>
          </w:p>
        </w:tc>
        <w:tc>
          <w:tcPr>
            <w:tcW w:type="dxa" w:w="7848"/>
            <w:tcBorders>
              <w:start w:val="single" w:sz="6" w:color="D8E2EC"/>
              <w:top w:val="single" w:sz="6" w:color="D8E2EC"/>
              <w:end w:val="single" w:sz="6" w:color="D8E2EC"/>
              <w:bottom w:val="single" w:sz="6" w:color="D8E2EC"/>
            </w:tcBorders>
            <w:vAlign w:val="center"/>
          </w:tcPr>
          <w:p>
            <w:pPr>
              <w:pStyle w:val="ListBullet"/>
              <w:spacing w:before="0" w:after="30" w:line="240" w:lineRule="auto"/>
            </w:pPr>
            <w:r>
              <w:rPr>
                <w:rFonts w:ascii="Arial" w:hAnsi="Arial"/>
                <w:color w:val="334155"/>
                <w:sz w:val="18"/>
              </w:rPr>
              <w:t>Build a synthetic case form with diagnosis, prior therapies, specialty, setting, age, and labs.</w:t>
            </w:r>
          </w:p>
          <w:p>
            <w:pPr>
              <w:pStyle w:val="ListBullet"/>
              <w:spacing w:before="0" w:after="30" w:line="240" w:lineRule="auto"/>
            </w:pPr>
            <w:r>
              <w:rPr>
                <w:rFonts w:ascii="Arial" w:hAnsi="Arial"/>
                <w:color w:val="334155"/>
                <w:sz w:val="18"/>
              </w:rPr>
              <w:t>Create a rule-based evaluator that compares the case against each Policy DNA object.</w:t>
            </w:r>
          </w:p>
          <w:p>
            <w:pPr>
              <w:pStyle w:val="ListBullet"/>
              <w:spacing w:before="0" w:after="30" w:line="240" w:lineRule="auto"/>
            </w:pPr>
            <w:r>
              <w:rPr>
                <w:rFonts w:ascii="Arial" w:hAnsi="Arial"/>
                <w:color w:val="334155"/>
                <w:sz w:val="18"/>
              </w:rPr>
              <w:t>Surface blockers, missing evidence, preferred alternatives, and likely fit by payer.</w:t>
            </w:r>
          </w:p>
          <w:p>
            <w:pPr>
              <w:pStyle w:val="ListBullet"/>
              <w:spacing w:before="0" w:after="30" w:line="240" w:lineRule="auto"/>
            </w:pPr>
            <w:r>
              <w:rPr>
                <w:rFonts w:ascii="Arial" w:hAnsi="Arial"/>
                <w:color w:val="334155"/>
                <w:sz w:val="18"/>
              </w:rPr>
              <w:t>Generate a short evidence pack with a checklist and a concise PA-ready summary.</w:t>
            </w:r>
          </w:p>
        </w:tc>
      </w:tr>
      <w:tr>
        <w:trPr>
          <w:cantSplit/>
        </w:trPr>
        <w:tc>
          <w:tcPr>
            <w:tcW w:type="dxa" w:w="2088"/>
            <w:tcBorders>
              <w:start w:val="single" w:sz="6" w:color="D8E2EC"/>
              <w:top w:val="single" w:sz="6" w:color="D8E2EC"/>
              <w:end w:val="single" w:sz="6" w:color="D8E2EC"/>
              <w:bottom w:val="single" w:sz="6" w:color="D8E2EC"/>
            </w:tcBorders>
            <w:shd w:fill="F8FAFC"/>
            <w:vAlign w:val="center"/>
          </w:tcPr>
          <w:p>
            <w:pPr>
              <w:spacing w:after="0"/>
            </w:pPr>
            <w:r>
              <w:rPr>
                <w:rFonts w:ascii="Arial" w:hAnsi="Arial"/>
                <w:b/>
                <w:color w:val="0F172A"/>
                <w:sz w:val="18"/>
              </w:rPr>
              <w:t>Done when</w:t>
            </w:r>
          </w:p>
        </w:tc>
        <w:tc>
          <w:tcPr>
            <w:tcW w:type="dxa" w:w="7848"/>
            <w:tcBorders>
              <w:start w:val="single" w:sz="6" w:color="D8E2EC"/>
              <w:top w:val="single" w:sz="6" w:color="D8E2EC"/>
              <w:end w:val="single" w:sz="6" w:color="D8E2EC"/>
              <w:bottom w:val="single" w:sz="6" w:color="D8E2EC"/>
            </w:tcBorders>
            <w:vAlign w:val="center"/>
          </w:tcPr>
          <w:p>
            <w:pPr>
              <w:pStyle w:val="ListBullet"/>
              <w:spacing w:before="0" w:after="30" w:line="240" w:lineRule="auto"/>
            </w:pPr>
            <w:r>
              <w:rPr>
                <w:rFonts w:ascii="Arial" w:hAnsi="Arial"/>
                <w:color w:val="334155"/>
                <w:sz w:val="18"/>
              </w:rPr>
              <w:t>At least three synthetic cases run end-to-end without ambiguity.</w:t>
            </w:r>
          </w:p>
          <w:p>
            <w:pPr>
              <w:pStyle w:val="ListBullet"/>
              <w:spacing w:before="0" w:after="30" w:line="240" w:lineRule="auto"/>
            </w:pPr>
            <w:r>
              <w:rPr>
                <w:rFonts w:ascii="Arial" w:hAnsi="Arial"/>
                <w:color w:val="334155"/>
                <w:sz w:val="18"/>
              </w:rPr>
              <w:t>Blockers are explicit and tied back to citations.</w:t>
            </w:r>
          </w:p>
          <w:p>
            <w:pPr>
              <w:pStyle w:val="ListBullet"/>
              <w:spacing w:before="0" w:after="30" w:line="240" w:lineRule="auto"/>
            </w:pPr>
            <w:r>
              <w:rPr>
                <w:rFonts w:ascii="Arial" w:hAnsi="Arial"/>
                <w:color w:val="334155"/>
                <w:sz w:val="18"/>
              </w:rPr>
              <w:t>No real patient or member data enters the system.</w:t>
            </w:r>
          </w:p>
        </w:tc>
      </w:tr>
    </w:tbl>
    <w:p>
      <w:pPr>
        <w:spacing w:before="40" w:after="120" w:line="247" w:lineRule="auto"/>
      </w:pPr>
      <w:r>
        <w:rPr>
          <w:rFonts w:ascii="Arial" w:hAnsi="Arial"/>
          <w:b/>
          <w:color w:val="64748B"/>
          <w:sz w:val="18"/>
        </w:rPr>
        <w:t xml:space="preserve">Risk note: </w:t>
      </w:r>
      <w:r>
        <w:rPr>
          <w:rFonts w:ascii="Arial" w:hAnsi="Arial"/>
          <w:i/>
          <w:color w:val="64748B"/>
          <w:sz w:val="18"/>
        </w:rPr>
        <w:t>Name this feature 'Policy Fit' or 'Access Blockers'; avoid claiming approval prediction.</w:t>
      </w:r>
    </w:p>
    <w:p>
      <w:r>
        <w:br w:type="page"/>
      </w:r>
    </w:p>
    <w:p>
      <w:pPr>
        <w:pStyle w:val="Heading1"/>
        <w:spacing w:before="0" w:after="80" w:line="259" w:lineRule="auto"/>
      </w:pPr>
      <w:r>
        <w:rPr>
          <w:rFonts w:ascii="Arial" w:hAnsi="Arial"/>
          <w:b w:val="0"/>
          <w:color w:val="334155"/>
          <w:sz w:val="21"/>
        </w:rPr>
        <w:t>4. Detailed sprint plan | user-facing intelligence continued</w:t>
      </w:r>
    </w:p>
    <w:tbl>
      <w:tblPr>
        <w:tblW w:type="auto" w:w="0"/>
        <w:jc w:val="center"/>
        <w:tblLayout w:type="fixed"/>
        <w:tblLook w:firstColumn="1" w:firstRow="1" w:lastColumn="0" w:lastRow="0" w:noHBand="0" w:noVBand="1" w:val="04A0"/>
      </w:tblPr>
      <w:tblGrid>
        <w:gridCol w:w="9994"/>
      </w:tblGrid>
      <w:tr>
        <w:tc>
          <w:tcPr>
            <w:tcW w:type="dxa" w:w="9936"/>
            <w:shd w:fill="0F766E"/>
            <w:tcBorders>
              <w:start w:val="nil"/>
              <w:top w:val="nil"/>
              <w:end w:val="nil"/>
              <w:bottom w:val="nil"/>
            </w:tcBorders>
          </w:tcPr>
          <w:p>
            <w:pPr>
              <w:spacing w:before="0" w:after="0"/>
            </w:pPr>
            <w:r>
              <w:rPr>
                <w:rFonts w:ascii="Arial" w:hAnsi="Arial"/>
                <w:b/>
                <w:color w:val="FFFFFF"/>
                <w:sz w:val="20"/>
              </w:rPr>
              <w:t>SPRINT 5  |  Change Radar + friction intelligence  |  Hours 34-40</w:t>
            </w:r>
          </w:p>
        </w:tc>
      </w:tr>
    </w:tbl>
    <w:tbl>
      <w:tblPr>
        <w:tblW w:type="auto" w:w="0"/>
        <w:jc w:val="center"/>
        <w:tblLayout w:type="fixed"/>
        <w:tblLook w:firstColumn="1" w:firstRow="1" w:lastColumn="0" w:lastRow="0" w:noHBand="0" w:noVBand="1" w:val="04A0"/>
        <w:tblCellMar>
          <w:top w:w="72" w:type="dxa"/>
          <w:start w:w="105" w:type="dxa"/>
          <w:bottom w:w="72" w:type="dxa"/>
          <w:end w:w="105" w:type="dxa"/>
        </w:tblCellMar>
      </w:tblPr>
      <w:tblGrid>
        <w:gridCol w:w="4997"/>
        <w:gridCol w:w="4997"/>
      </w:tblGrid>
      <w:tr>
        <w:trPr>
          <w:cantSplit/>
        </w:trPr>
        <w:tc>
          <w:tcPr>
            <w:tcW w:type="dxa" w:w="2088"/>
            <w:tcBorders>
              <w:start w:val="single" w:sz="6" w:color="D8E2EC"/>
              <w:top w:val="single" w:sz="6" w:color="D8E2EC"/>
              <w:end w:val="single" w:sz="6" w:color="D8E2EC"/>
              <w:bottom w:val="single" w:sz="6" w:color="D8E2EC"/>
            </w:tcBorders>
            <w:shd w:fill="F8FAFC"/>
            <w:vAlign w:val="center"/>
          </w:tcPr>
          <w:p>
            <w:pPr>
              <w:spacing w:after="0"/>
            </w:pPr>
            <w:r>
              <w:rPr>
                <w:rFonts w:ascii="Arial" w:hAnsi="Arial"/>
                <w:b/>
                <w:color w:val="0F172A"/>
                <w:sz w:val="18"/>
              </w:rPr>
              <w:t>Objective</w:t>
            </w:r>
          </w:p>
        </w:tc>
        <w:tc>
          <w:tcPr>
            <w:tcW w:type="dxa" w:w="7848"/>
            <w:tcBorders>
              <w:start w:val="single" w:sz="6" w:color="D8E2EC"/>
              <w:top w:val="single" w:sz="6" w:color="D8E2EC"/>
              <w:end w:val="single" w:sz="6" w:color="D8E2EC"/>
              <w:bottom w:val="single" w:sz="6" w:color="D8E2EC"/>
            </w:tcBorders>
            <w:vAlign w:val="center"/>
          </w:tcPr>
          <w:p>
            <w:pPr>
              <w:spacing w:after="0"/>
            </w:pPr>
            <w:r>
              <w:rPr>
                <w:rFonts w:ascii="Arial" w:hAnsi="Arial"/>
                <w:color w:val="334155"/>
                <w:sz w:val="18"/>
              </w:rPr>
              <w:t>Show not only what a policy says, but how it changed and how hard access becomes.</w:t>
            </w:r>
          </w:p>
        </w:tc>
      </w:tr>
      <w:tr>
        <w:trPr>
          <w:cantSplit/>
        </w:trPr>
        <w:tc>
          <w:tcPr>
            <w:tcW w:type="dxa" w:w="2088"/>
            <w:tcBorders>
              <w:start w:val="single" w:sz="6" w:color="D8E2EC"/>
              <w:top w:val="single" w:sz="6" w:color="D8E2EC"/>
              <w:end w:val="single" w:sz="6" w:color="D8E2EC"/>
              <w:bottom w:val="single" w:sz="6" w:color="D8E2EC"/>
            </w:tcBorders>
            <w:shd w:fill="F8FAFC"/>
            <w:vAlign w:val="center"/>
          </w:tcPr>
          <w:p>
            <w:pPr>
              <w:spacing w:after="0"/>
            </w:pPr>
            <w:r>
              <w:rPr>
                <w:rFonts w:ascii="Arial" w:hAnsi="Arial"/>
                <w:b/>
                <w:color w:val="0F172A"/>
                <w:sz w:val="18"/>
              </w:rPr>
              <w:t>Key tasks</w:t>
            </w:r>
          </w:p>
        </w:tc>
        <w:tc>
          <w:tcPr>
            <w:tcW w:type="dxa" w:w="7848"/>
            <w:tcBorders>
              <w:start w:val="single" w:sz="6" w:color="D8E2EC"/>
              <w:top w:val="single" w:sz="6" w:color="D8E2EC"/>
              <w:end w:val="single" w:sz="6" w:color="D8E2EC"/>
              <w:bottom w:val="single" w:sz="6" w:color="D8E2EC"/>
            </w:tcBorders>
            <w:vAlign w:val="center"/>
          </w:tcPr>
          <w:p>
            <w:pPr>
              <w:pStyle w:val="ListBullet"/>
              <w:spacing w:before="0" w:after="30" w:line="240" w:lineRule="auto"/>
            </w:pPr>
            <w:r>
              <w:rPr>
                <w:rFonts w:ascii="Arial" w:hAnsi="Arial"/>
                <w:color w:val="334155"/>
                <w:sz w:val="18"/>
              </w:rPr>
              <w:t>Build a semantic diff that labels criteria as tightened, loosened, or unchanged.</w:t>
            </w:r>
          </w:p>
          <w:p>
            <w:pPr>
              <w:pStyle w:val="ListBullet"/>
              <w:spacing w:before="0" w:after="30" w:line="240" w:lineRule="auto"/>
            </w:pPr>
            <w:r>
              <w:rPr>
                <w:rFonts w:ascii="Arial" w:hAnsi="Arial"/>
                <w:color w:val="334155"/>
                <w:sz w:val="18"/>
              </w:rPr>
              <w:t>Compute an Access Friction Score from burden factors such as prior failure, specialty, labs, site of care, and renewal complexity.</w:t>
            </w:r>
          </w:p>
          <w:p>
            <w:pPr>
              <w:pStyle w:val="ListBullet"/>
              <w:spacing w:before="0" w:after="30" w:line="240" w:lineRule="auto"/>
            </w:pPr>
            <w:r>
              <w:rPr>
                <w:rFonts w:ascii="Arial" w:hAnsi="Arial"/>
                <w:color w:val="334155"/>
                <w:sz w:val="18"/>
              </w:rPr>
              <w:t>Add a simple Impact Replay showing which archetype cases newly pass or fail after a version change.</w:t>
            </w:r>
          </w:p>
          <w:p>
            <w:pPr>
              <w:pStyle w:val="ListBullet"/>
              <w:spacing w:before="0" w:after="30" w:line="240" w:lineRule="auto"/>
            </w:pPr>
            <w:r>
              <w:rPr>
                <w:rFonts w:ascii="Arial" w:hAnsi="Arial"/>
                <w:color w:val="334155"/>
                <w:sz w:val="18"/>
              </w:rPr>
              <w:t>Render one clean heatmap or trend view for presentation value.</w:t>
            </w:r>
          </w:p>
        </w:tc>
      </w:tr>
      <w:tr>
        <w:trPr>
          <w:cantSplit/>
        </w:trPr>
        <w:tc>
          <w:tcPr>
            <w:tcW w:type="dxa" w:w="2088"/>
            <w:tcBorders>
              <w:start w:val="single" w:sz="6" w:color="D8E2EC"/>
              <w:top w:val="single" w:sz="6" w:color="D8E2EC"/>
              <w:end w:val="single" w:sz="6" w:color="D8E2EC"/>
              <w:bottom w:val="single" w:sz="6" w:color="D8E2EC"/>
            </w:tcBorders>
            <w:shd w:fill="F8FAFC"/>
            <w:vAlign w:val="center"/>
          </w:tcPr>
          <w:p>
            <w:pPr>
              <w:spacing w:after="0"/>
            </w:pPr>
            <w:r>
              <w:rPr>
                <w:rFonts w:ascii="Arial" w:hAnsi="Arial"/>
                <w:b/>
                <w:color w:val="0F172A"/>
                <w:sz w:val="18"/>
              </w:rPr>
              <w:t>Done when</w:t>
            </w:r>
          </w:p>
        </w:tc>
        <w:tc>
          <w:tcPr>
            <w:tcW w:type="dxa" w:w="7848"/>
            <w:tcBorders>
              <w:start w:val="single" w:sz="6" w:color="D8E2EC"/>
              <w:top w:val="single" w:sz="6" w:color="D8E2EC"/>
              <w:end w:val="single" w:sz="6" w:color="D8E2EC"/>
              <w:bottom w:val="single" w:sz="6" w:color="D8E2EC"/>
            </w:tcBorders>
            <w:vAlign w:val="center"/>
          </w:tcPr>
          <w:p>
            <w:pPr>
              <w:pStyle w:val="ListBullet"/>
              <w:spacing w:before="0" w:after="30" w:line="240" w:lineRule="auto"/>
            </w:pPr>
            <w:r>
              <w:rPr>
                <w:rFonts w:ascii="Arial" w:hAnsi="Arial"/>
                <w:color w:val="334155"/>
                <w:sz w:val="18"/>
              </w:rPr>
              <w:t>At least four policy version pairs can be compared cleanly.</w:t>
            </w:r>
          </w:p>
          <w:p>
            <w:pPr>
              <w:pStyle w:val="ListBullet"/>
              <w:spacing w:before="0" w:after="30" w:line="240" w:lineRule="auto"/>
            </w:pPr>
            <w:r>
              <w:rPr>
                <w:rFonts w:ascii="Arial" w:hAnsi="Arial"/>
                <w:color w:val="334155"/>
                <w:sz w:val="18"/>
              </w:rPr>
              <w:t>One chart or heatmap renders without clutter and supports the story.</w:t>
            </w:r>
          </w:p>
          <w:p>
            <w:pPr>
              <w:pStyle w:val="ListBullet"/>
              <w:spacing w:before="0" w:after="30" w:line="240" w:lineRule="auto"/>
            </w:pPr>
            <w:r>
              <w:rPr>
                <w:rFonts w:ascii="Arial" w:hAnsi="Arial"/>
                <w:color w:val="334155"/>
                <w:sz w:val="18"/>
              </w:rPr>
              <w:t>The team can answer 'What changed this quarter?' with visible proof.</w:t>
            </w:r>
          </w:p>
        </w:tc>
      </w:tr>
    </w:tbl>
    <w:p>
      <w:pPr>
        <w:spacing w:before="40" w:after="120" w:line="247" w:lineRule="auto"/>
      </w:pPr>
      <w:r>
        <w:rPr>
          <w:rFonts w:ascii="Arial" w:hAnsi="Arial"/>
          <w:b/>
          <w:color w:val="64748B"/>
          <w:sz w:val="18"/>
        </w:rPr>
        <w:t xml:space="preserve">Risk note: </w:t>
      </w:r>
      <w:r>
        <w:rPr>
          <w:rFonts w:ascii="Arial" w:hAnsi="Arial"/>
          <w:i/>
          <w:color w:val="64748B"/>
          <w:sz w:val="18"/>
        </w:rPr>
        <w:t>This is the out-of-the-box differentiator. Do not reduce it to a raw text diff.</w:t>
      </w:r>
    </w:p>
    <w:p>
      <w:pPr>
        <w:spacing w:before="120" w:after="60"/>
      </w:pPr>
      <w:r>
        <w:rPr>
          <w:rFonts w:ascii="Arial" w:hAnsi="Arial"/>
          <w:b/>
          <w:color w:val="0F172A"/>
          <w:sz w:val="23"/>
        </w:rPr>
        <w:t>Keep the friction score simple</w:t>
      </w:r>
    </w:p>
    <w:tbl>
      <w:tblPr>
        <w:tblW w:type="auto" w:w="0"/>
        <w:jc w:val="center"/>
        <w:tblLayout w:type="fixed"/>
        <w:tblLook w:firstColumn="1" w:firstRow="1" w:lastColumn="0" w:lastRow="0" w:noHBand="0" w:noVBand="1" w:val="04A0"/>
        <w:tblCellMar>
          <w:top w:w="75" w:type="dxa"/>
          <w:start w:w="95" w:type="dxa"/>
          <w:bottom w:w="75" w:type="dxa"/>
          <w:end w:w="95" w:type="dxa"/>
        </w:tblCellMar>
      </w:tblPr>
      <w:tblGrid>
        <w:gridCol w:w="3331"/>
        <w:gridCol w:w="3331"/>
        <w:gridCol w:w="3331"/>
      </w:tblGrid>
      <w:tr>
        <w:tc>
          <w:tcPr>
            <w:tcW w:type="dxa" w:w="3168"/>
            <w:tcBorders>
              <w:start w:val="single" w:sz="6" w:color="D8E2EC"/>
              <w:top w:val="single" w:sz="6" w:color="D8E2EC"/>
              <w:end w:val="single" w:sz="6" w:color="D8E2EC"/>
              <w:bottom w:val="single" w:sz="6" w:color="D8E2EC"/>
            </w:tcBorders>
            <w:shd w:fill="0F172A"/>
            <w:vAlign w:val="center"/>
          </w:tcPr>
          <w:p>
            <w:pPr>
              <w:spacing w:before="0" w:after="0"/>
              <w:jc w:val="center"/>
            </w:pPr>
            <w:r>
              <w:rPr>
                <w:rFonts w:ascii="Arial" w:hAnsi="Arial"/>
                <w:b/>
                <w:color w:val="FFFFFF"/>
                <w:sz w:val="18"/>
              </w:rPr>
              <w:t>Lever</w:t>
            </w:r>
          </w:p>
        </w:tc>
        <w:tc>
          <w:tcPr>
            <w:tcW w:type="dxa" w:w="4464"/>
            <w:tcBorders>
              <w:start w:val="single" w:sz="6" w:color="D8E2EC"/>
              <w:top w:val="single" w:sz="6" w:color="D8E2EC"/>
              <w:end w:val="single" w:sz="6" w:color="D8E2EC"/>
              <w:bottom w:val="single" w:sz="6" w:color="D8E2EC"/>
            </w:tcBorders>
            <w:shd w:fill="0F172A"/>
            <w:vAlign w:val="center"/>
          </w:tcPr>
          <w:p>
            <w:pPr>
              <w:spacing w:before="0" w:after="0"/>
              <w:jc w:val="center"/>
            </w:pPr>
            <w:r>
              <w:rPr>
                <w:rFonts w:ascii="Arial" w:hAnsi="Arial"/>
                <w:b/>
                <w:color w:val="FFFFFF"/>
                <w:sz w:val="18"/>
              </w:rPr>
              <w:t>Example signal</w:t>
            </w:r>
          </w:p>
        </w:tc>
        <w:tc>
          <w:tcPr>
            <w:tcW w:type="dxa" w:w="2304"/>
            <w:tcBorders>
              <w:start w:val="single" w:sz="6" w:color="D8E2EC"/>
              <w:top w:val="single" w:sz="6" w:color="D8E2EC"/>
              <w:end w:val="single" w:sz="6" w:color="D8E2EC"/>
              <w:bottom w:val="single" w:sz="6" w:color="D8E2EC"/>
            </w:tcBorders>
            <w:shd w:fill="0F172A"/>
            <w:vAlign w:val="center"/>
          </w:tcPr>
          <w:p>
            <w:pPr>
              <w:spacing w:before="0" w:after="0"/>
              <w:jc w:val="center"/>
            </w:pPr>
            <w:r>
              <w:rPr>
                <w:rFonts w:ascii="Arial" w:hAnsi="Arial"/>
                <w:b/>
                <w:color w:val="FFFFFF"/>
                <w:sz w:val="18"/>
              </w:rPr>
              <w:t>Impact cue</w:t>
            </w:r>
          </w:p>
        </w:tc>
      </w:tr>
      <w:tr>
        <w:tc>
          <w:tcPr>
            <w:tcW w:type="dxa" w:w="3168"/>
            <w:tcBorders>
              <w:start w:val="single" w:sz="6" w:color="D8E2EC"/>
              <w:top w:val="single" w:sz="6" w:color="D8E2EC"/>
              <w:end w:val="single" w:sz="6" w:color="D8E2EC"/>
              <w:bottom w:val="single" w:sz="6" w:color="D8E2EC"/>
            </w:tcBorders>
            <w:shd w:fill="F8FAFC"/>
          </w:tcPr>
          <w:p>
            <w:pPr>
              <w:spacing w:after="0"/>
              <w:jc w:val="left"/>
            </w:pPr>
            <w:r>
              <w:rPr>
                <w:rFonts w:ascii="Arial" w:hAnsi="Arial"/>
                <w:b/>
                <w:color w:val="334155"/>
                <w:sz w:val="18"/>
              </w:rPr>
              <w:t>Prior failure burden</w:t>
            </w:r>
          </w:p>
        </w:tc>
        <w:tc>
          <w:tcPr>
            <w:tcW w:type="dxa" w:w="4464"/>
            <w:tcBorders>
              <w:start w:val="single" w:sz="6" w:color="D8E2EC"/>
              <w:top w:val="single" w:sz="6" w:color="D8E2EC"/>
              <w:end w:val="single" w:sz="6" w:color="D8E2EC"/>
              <w:bottom w:val="single" w:sz="6" w:color="D8E2EC"/>
            </w:tcBorders>
          </w:tcPr>
          <w:p>
            <w:pPr>
              <w:spacing w:after="0"/>
              <w:jc w:val="left"/>
            </w:pPr>
            <w:r>
              <w:rPr>
                <w:rFonts w:ascii="Arial" w:hAnsi="Arial"/>
                <w:b w:val="0"/>
                <w:color w:val="334155"/>
                <w:sz w:val="18"/>
              </w:rPr>
              <w:t>Requires one or more failed therapies first.</w:t>
            </w:r>
          </w:p>
        </w:tc>
        <w:tc>
          <w:tcPr>
            <w:tcW w:type="dxa" w:w="2304"/>
            <w:tcBorders>
              <w:start w:val="single" w:sz="6" w:color="D8E2EC"/>
              <w:top w:val="single" w:sz="6" w:color="D8E2EC"/>
              <w:end w:val="single" w:sz="6" w:color="D8E2EC"/>
              <w:bottom w:val="single" w:sz="6" w:color="D8E2EC"/>
            </w:tcBorders>
          </w:tcPr>
          <w:p>
            <w:pPr>
              <w:spacing w:after="0"/>
              <w:jc w:val="center"/>
            </w:pPr>
            <w:r>
              <w:rPr>
                <w:rFonts w:ascii="Arial" w:hAnsi="Arial"/>
                <w:b w:val="0"/>
                <w:color w:val="334155"/>
                <w:sz w:val="18"/>
              </w:rPr>
              <w:t>High</w:t>
            </w:r>
          </w:p>
        </w:tc>
      </w:tr>
      <w:tr>
        <w:tc>
          <w:tcPr>
            <w:tcW w:type="dxa" w:w="3168"/>
            <w:tcBorders>
              <w:start w:val="single" w:sz="6" w:color="D8E2EC"/>
              <w:top w:val="single" w:sz="6" w:color="D8E2EC"/>
              <w:end w:val="single" w:sz="6" w:color="D8E2EC"/>
              <w:bottom w:val="single" w:sz="6" w:color="D8E2EC"/>
            </w:tcBorders>
            <w:shd w:fill="F8FAFC"/>
          </w:tcPr>
          <w:p>
            <w:pPr>
              <w:spacing w:after="0"/>
              <w:jc w:val="left"/>
            </w:pPr>
            <w:r>
              <w:rPr>
                <w:rFonts w:ascii="Arial" w:hAnsi="Arial"/>
                <w:b/>
                <w:color w:val="334155"/>
                <w:sz w:val="18"/>
              </w:rPr>
              <w:t>Specialist gate</w:t>
            </w:r>
          </w:p>
        </w:tc>
        <w:tc>
          <w:tcPr>
            <w:tcW w:type="dxa" w:w="4464"/>
            <w:tcBorders>
              <w:start w:val="single" w:sz="6" w:color="D8E2EC"/>
              <w:top w:val="single" w:sz="6" w:color="D8E2EC"/>
              <w:end w:val="single" w:sz="6" w:color="D8E2EC"/>
              <w:bottom w:val="single" w:sz="6" w:color="D8E2EC"/>
            </w:tcBorders>
          </w:tcPr>
          <w:p>
            <w:pPr>
              <w:spacing w:after="0"/>
              <w:jc w:val="left"/>
            </w:pPr>
            <w:r>
              <w:rPr>
                <w:rFonts w:ascii="Arial" w:hAnsi="Arial"/>
                <w:b w:val="0"/>
                <w:color w:val="334155"/>
                <w:sz w:val="18"/>
              </w:rPr>
              <w:t>Must be prescribed by a specialist.</w:t>
            </w:r>
          </w:p>
        </w:tc>
        <w:tc>
          <w:tcPr>
            <w:tcW w:type="dxa" w:w="2304"/>
            <w:tcBorders>
              <w:start w:val="single" w:sz="6" w:color="D8E2EC"/>
              <w:top w:val="single" w:sz="6" w:color="D8E2EC"/>
              <w:end w:val="single" w:sz="6" w:color="D8E2EC"/>
              <w:bottom w:val="single" w:sz="6" w:color="D8E2EC"/>
            </w:tcBorders>
          </w:tcPr>
          <w:p>
            <w:pPr>
              <w:spacing w:after="0"/>
              <w:jc w:val="center"/>
            </w:pPr>
            <w:r>
              <w:rPr>
                <w:rFonts w:ascii="Arial" w:hAnsi="Arial"/>
                <w:b w:val="0"/>
                <w:color w:val="334155"/>
                <w:sz w:val="18"/>
              </w:rPr>
              <w:t>Medium</w:t>
            </w:r>
          </w:p>
        </w:tc>
      </w:tr>
      <w:tr>
        <w:tc>
          <w:tcPr>
            <w:tcW w:type="dxa" w:w="3168"/>
            <w:tcBorders>
              <w:start w:val="single" w:sz="6" w:color="D8E2EC"/>
              <w:top w:val="single" w:sz="6" w:color="D8E2EC"/>
              <w:end w:val="single" w:sz="6" w:color="D8E2EC"/>
              <w:bottom w:val="single" w:sz="6" w:color="D8E2EC"/>
            </w:tcBorders>
            <w:shd w:fill="F8FAFC"/>
          </w:tcPr>
          <w:p>
            <w:pPr>
              <w:spacing w:after="0"/>
              <w:jc w:val="left"/>
            </w:pPr>
            <w:r>
              <w:rPr>
                <w:rFonts w:ascii="Arial" w:hAnsi="Arial"/>
                <w:b/>
                <w:color w:val="334155"/>
                <w:sz w:val="18"/>
              </w:rPr>
              <w:t>Lab or biomarker gate</w:t>
            </w:r>
          </w:p>
        </w:tc>
        <w:tc>
          <w:tcPr>
            <w:tcW w:type="dxa" w:w="4464"/>
            <w:tcBorders>
              <w:start w:val="single" w:sz="6" w:color="D8E2EC"/>
              <w:top w:val="single" w:sz="6" w:color="D8E2EC"/>
              <w:end w:val="single" w:sz="6" w:color="D8E2EC"/>
              <w:bottom w:val="single" w:sz="6" w:color="D8E2EC"/>
            </w:tcBorders>
          </w:tcPr>
          <w:p>
            <w:pPr>
              <w:spacing w:after="0"/>
              <w:jc w:val="left"/>
            </w:pPr>
            <w:r>
              <w:rPr>
                <w:rFonts w:ascii="Arial" w:hAnsi="Arial"/>
                <w:b w:val="0"/>
                <w:color w:val="334155"/>
                <w:sz w:val="18"/>
              </w:rPr>
              <w:t>Extra testing is required before coverage.</w:t>
            </w:r>
          </w:p>
        </w:tc>
        <w:tc>
          <w:tcPr>
            <w:tcW w:type="dxa" w:w="2304"/>
            <w:tcBorders>
              <w:start w:val="single" w:sz="6" w:color="D8E2EC"/>
              <w:top w:val="single" w:sz="6" w:color="D8E2EC"/>
              <w:end w:val="single" w:sz="6" w:color="D8E2EC"/>
              <w:bottom w:val="single" w:sz="6" w:color="D8E2EC"/>
            </w:tcBorders>
          </w:tcPr>
          <w:p>
            <w:pPr>
              <w:spacing w:after="0"/>
              <w:jc w:val="center"/>
            </w:pPr>
            <w:r>
              <w:rPr>
                <w:rFonts w:ascii="Arial" w:hAnsi="Arial"/>
                <w:b w:val="0"/>
                <w:color w:val="334155"/>
                <w:sz w:val="18"/>
              </w:rPr>
              <w:t>Medium</w:t>
            </w:r>
          </w:p>
        </w:tc>
      </w:tr>
      <w:tr>
        <w:tc>
          <w:tcPr>
            <w:tcW w:type="dxa" w:w="3168"/>
            <w:tcBorders>
              <w:start w:val="single" w:sz="6" w:color="D8E2EC"/>
              <w:top w:val="single" w:sz="6" w:color="D8E2EC"/>
              <w:end w:val="single" w:sz="6" w:color="D8E2EC"/>
              <w:bottom w:val="single" w:sz="6" w:color="D8E2EC"/>
            </w:tcBorders>
            <w:shd w:fill="F8FAFC"/>
          </w:tcPr>
          <w:p>
            <w:pPr>
              <w:spacing w:after="0"/>
              <w:jc w:val="left"/>
            </w:pPr>
            <w:r>
              <w:rPr>
                <w:rFonts w:ascii="Arial" w:hAnsi="Arial"/>
                <w:b/>
                <w:color w:val="334155"/>
                <w:sz w:val="18"/>
              </w:rPr>
              <w:t>Site-of-care restriction</w:t>
            </w:r>
          </w:p>
        </w:tc>
        <w:tc>
          <w:tcPr>
            <w:tcW w:type="dxa" w:w="4464"/>
            <w:tcBorders>
              <w:start w:val="single" w:sz="6" w:color="D8E2EC"/>
              <w:top w:val="single" w:sz="6" w:color="D8E2EC"/>
              <w:end w:val="single" w:sz="6" w:color="D8E2EC"/>
              <w:bottom w:val="single" w:sz="6" w:color="D8E2EC"/>
            </w:tcBorders>
          </w:tcPr>
          <w:p>
            <w:pPr>
              <w:spacing w:after="0"/>
              <w:jc w:val="left"/>
            </w:pPr>
            <w:r>
              <w:rPr>
                <w:rFonts w:ascii="Arial" w:hAnsi="Arial"/>
                <w:b w:val="0"/>
                <w:color w:val="334155"/>
                <w:sz w:val="18"/>
              </w:rPr>
              <w:t>Hospital infusion is blocked in favor of lower-cost sites.</w:t>
            </w:r>
          </w:p>
        </w:tc>
        <w:tc>
          <w:tcPr>
            <w:tcW w:type="dxa" w:w="2304"/>
            <w:tcBorders>
              <w:start w:val="single" w:sz="6" w:color="D8E2EC"/>
              <w:top w:val="single" w:sz="6" w:color="D8E2EC"/>
              <w:end w:val="single" w:sz="6" w:color="D8E2EC"/>
              <w:bottom w:val="single" w:sz="6" w:color="D8E2EC"/>
            </w:tcBorders>
          </w:tcPr>
          <w:p>
            <w:pPr>
              <w:spacing w:after="0"/>
              <w:jc w:val="center"/>
            </w:pPr>
            <w:r>
              <w:rPr>
                <w:rFonts w:ascii="Arial" w:hAnsi="Arial"/>
                <w:b w:val="0"/>
                <w:color w:val="334155"/>
                <w:sz w:val="18"/>
              </w:rPr>
              <w:t>High</w:t>
            </w:r>
          </w:p>
        </w:tc>
      </w:tr>
      <w:tr>
        <w:tc>
          <w:tcPr>
            <w:tcW w:type="dxa" w:w="3168"/>
            <w:tcBorders>
              <w:start w:val="single" w:sz="6" w:color="D8E2EC"/>
              <w:top w:val="single" w:sz="6" w:color="D8E2EC"/>
              <w:end w:val="single" w:sz="6" w:color="D8E2EC"/>
              <w:bottom w:val="single" w:sz="6" w:color="D8E2EC"/>
            </w:tcBorders>
            <w:shd w:fill="F8FAFC"/>
          </w:tcPr>
          <w:p>
            <w:pPr>
              <w:spacing w:after="0"/>
              <w:jc w:val="left"/>
            </w:pPr>
            <w:r>
              <w:rPr>
                <w:rFonts w:ascii="Arial" w:hAnsi="Arial"/>
                <w:b/>
                <w:color w:val="334155"/>
                <w:sz w:val="18"/>
              </w:rPr>
              <w:t>Renewal complexity</w:t>
            </w:r>
          </w:p>
        </w:tc>
        <w:tc>
          <w:tcPr>
            <w:tcW w:type="dxa" w:w="4464"/>
            <w:tcBorders>
              <w:start w:val="single" w:sz="6" w:color="D8E2EC"/>
              <w:top w:val="single" w:sz="6" w:color="D8E2EC"/>
              <w:end w:val="single" w:sz="6" w:color="D8E2EC"/>
              <w:bottom w:val="single" w:sz="6" w:color="D8E2EC"/>
            </w:tcBorders>
          </w:tcPr>
          <w:p>
            <w:pPr>
              <w:spacing w:after="0"/>
              <w:jc w:val="left"/>
            </w:pPr>
            <w:r>
              <w:rPr>
                <w:rFonts w:ascii="Arial" w:hAnsi="Arial"/>
                <w:b w:val="0"/>
                <w:color w:val="334155"/>
                <w:sz w:val="18"/>
              </w:rPr>
              <w:t>Short reauthorization interval or extra documentation.</w:t>
            </w:r>
          </w:p>
        </w:tc>
        <w:tc>
          <w:tcPr>
            <w:tcW w:type="dxa" w:w="2304"/>
            <w:tcBorders>
              <w:start w:val="single" w:sz="6" w:color="D8E2EC"/>
              <w:top w:val="single" w:sz="6" w:color="D8E2EC"/>
              <w:end w:val="single" w:sz="6" w:color="D8E2EC"/>
              <w:bottom w:val="single" w:sz="6" w:color="D8E2EC"/>
            </w:tcBorders>
          </w:tcPr>
          <w:p>
            <w:pPr>
              <w:spacing w:after="0"/>
              <w:jc w:val="center"/>
            </w:pPr>
            <w:r>
              <w:rPr>
                <w:rFonts w:ascii="Arial" w:hAnsi="Arial"/>
                <w:b w:val="0"/>
                <w:color w:val="334155"/>
                <w:sz w:val="18"/>
              </w:rPr>
              <w:t>Medium</w:t>
            </w:r>
          </w:p>
        </w:tc>
      </w:tr>
    </w:tbl>
    <w:p>
      <w:pPr>
        <w:spacing w:after="80" w:before="0"/>
      </w:pPr>
    </w:p>
    <w:tbl>
      <w:tblPr>
        <w:tblW w:type="auto" w:w="0"/>
        <w:jc w:val="center"/>
        <w:tblLayout w:type="fixed"/>
        <w:tblLook w:firstColumn="1" w:firstRow="1" w:lastColumn="0" w:lastRow="0" w:noHBand="0" w:noVBand="1" w:val="04A0"/>
        <w:tblCellMar>
          <w:top w:w="90" w:type="dxa"/>
          <w:start w:w="120" w:type="dxa"/>
          <w:bottom w:w="90" w:type="dxa"/>
          <w:end w:w="120" w:type="dxa"/>
        </w:tblCellMar>
      </w:tblPr>
      <w:tblGrid>
        <w:gridCol w:w="9994"/>
      </w:tblGrid>
      <w:tr>
        <w:tc>
          <w:tcPr>
            <w:tcW w:type="dxa" w:w="9936"/>
            <w:shd w:fill="F0FDFA"/>
            <w:tcBorders>
              <w:start w:val="single" w:sz="8" w:color="CFE0F5"/>
              <w:top w:val="single" w:sz="8" w:color="CFE0F5"/>
              <w:end w:val="single" w:sz="8" w:color="CFE0F5"/>
              <w:bottom w:val="single" w:sz="8" w:color="CFE0F5"/>
            </w:tcBorders>
            <w:vAlign w:val="center"/>
          </w:tcPr>
          <w:p>
            <w:pPr>
              <w:spacing w:after="40"/>
            </w:pPr>
            <w:r>
              <w:rPr>
                <w:rFonts w:ascii="Arial" w:hAnsi="Arial"/>
                <w:b/>
                <w:color w:val="115E59"/>
                <w:sz w:val="21"/>
              </w:rPr>
              <w:t>Impact Replay seed cases</w:t>
            </w:r>
          </w:p>
          <w:p>
            <w:pPr>
              <w:spacing w:before="0" w:after="0" w:line="259" w:lineRule="auto"/>
            </w:pPr>
            <w:r>
              <w:rPr>
                <w:rFonts w:ascii="Arial" w:hAnsi="Arial"/>
                <w:color w:val="134E4A"/>
                <w:sz w:val="20"/>
              </w:rPr>
              <w:t>Prepare three synthetic archetypes: a clean approval, a missing-lab case, and a site-of-care restricted case. Replay them across old and new policy versions to show immediate impact.</w:t>
            </w:r>
          </w:p>
        </w:tc>
      </w:tr>
    </w:tbl>
    <w:p>
      <w:r>
        <w:br w:type="page"/>
      </w:r>
    </w:p>
    <w:p>
      <w:pPr>
        <w:pStyle w:val="Heading1"/>
        <w:spacing w:before="0" w:after="80" w:line="259" w:lineRule="auto"/>
      </w:pPr>
      <w:r>
        <w:rPr>
          <w:rFonts w:ascii="Arial" w:hAnsi="Arial"/>
          <w:b w:val="0"/>
          <w:color w:val="334155"/>
          <w:sz w:val="21"/>
        </w:rPr>
        <w:t>5. Detailed sprint plan | integrations, QA, and demo</w:t>
      </w:r>
    </w:p>
    <w:tbl>
      <w:tblPr>
        <w:tblW w:type="auto" w:w="0"/>
        <w:jc w:val="center"/>
        <w:tblLayout w:type="fixed"/>
        <w:tblLook w:firstColumn="1" w:firstRow="1" w:lastColumn="0" w:lastRow="0" w:noHBand="0" w:noVBand="1" w:val="04A0"/>
      </w:tblPr>
      <w:tblGrid>
        <w:gridCol w:w="9994"/>
      </w:tblGrid>
      <w:tr>
        <w:tc>
          <w:tcPr>
            <w:tcW w:type="dxa" w:w="9936"/>
            <w:shd w:fill="334155"/>
            <w:tcBorders>
              <w:start w:val="nil"/>
              <w:top w:val="nil"/>
              <w:end w:val="nil"/>
              <w:bottom w:val="nil"/>
            </w:tcBorders>
          </w:tcPr>
          <w:p>
            <w:pPr>
              <w:spacing w:before="0" w:after="0"/>
            </w:pPr>
            <w:r>
              <w:rPr>
                <w:rFonts w:ascii="Arial" w:hAnsi="Arial"/>
                <w:b/>
                <w:color w:val="FFFFFF"/>
                <w:sz w:val="20"/>
              </w:rPr>
              <w:t>SPRINT 6  |  Auth0 + ElevenLabs + trust layer  |  Hours 40-45</w:t>
            </w:r>
          </w:p>
        </w:tc>
      </w:tr>
    </w:tbl>
    <w:tbl>
      <w:tblPr>
        <w:tblW w:type="auto" w:w="0"/>
        <w:jc w:val="center"/>
        <w:tblLayout w:type="fixed"/>
        <w:tblLook w:firstColumn="1" w:firstRow="1" w:lastColumn="0" w:lastRow="0" w:noHBand="0" w:noVBand="1" w:val="04A0"/>
        <w:tblCellMar>
          <w:top w:w="72" w:type="dxa"/>
          <w:start w:w="105" w:type="dxa"/>
          <w:bottom w:w="72" w:type="dxa"/>
          <w:end w:w="105" w:type="dxa"/>
        </w:tblCellMar>
      </w:tblPr>
      <w:tblGrid>
        <w:gridCol w:w="4997"/>
        <w:gridCol w:w="4997"/>
      </w:tblGrid>
      <w:tr>
        <w:trPr>
          <w:cantSplit/>
        </w:trPr>
        <w:tc>
          <w:tcPr>
            <w:tcW w:type="dxa" w:w="2088"/>
            <w:tcBorders>
              <w:start w:val="single" w:sz="6" w:color="D8E2EC"/>
              <w:top w:val="single" w:sz="6" w:color="D8E2EC"/>
              <w:end w:val="single" w:sz="6" w:color="D8E2EC"/>
              <w:bottom w:val="single" w:sz="6" w:color="D8E2EC"/>
            </w:tcBorders>
            <w:shd w:fill="F8FAFC"/>
            <w:vAlign w:val="center"/>
          </w:tcPr>
          <w:p>
            <w:pPr>
              <w:spacing w:after="0"/>
            </w:pPr>
            <w:r>
              <w:rPr>
                <w:rFonts w:ascii="Arial" w:hAnsi="Arial"/>
                <w:b/>
                <w:color w:val="0F172A"/>
                <w:sz w:val="18"/>
              </w:rPr>
              <w:t>Objective</w:t>
            </w:r>
          </w:p>
        </w:tc>
        <w:tc>
          <w:tcPr>
            <w:tcW w:type="dxa" w:w="7848"/>
            <w:tcBorders>
              <w:start w:val="single" w:sz="6" w:color="D8E2EC"/>
              <w:top w:val="single" w:sz="6" w:color="D8E2EC"/>
              <w:end w:val="single" w:sz="6" w:color="D8E2EC"/>
              <w:bottom w:val="single" w:sz="6" w:color="D8E2EC"/>
            </w:tcBorders>
            <w:vAlign w:val="center"/>
          </w:tcPr>
          <w:p>
            <w:pPr>
              <w:spacing w:after="0"/>
            </w:pPr>
            <w:r>
              <w:rPr>
                <w:rFonts w:ascii="Arial" w:hAnsi="Arial"/>
                <w:color w:val="334155"/>
                <w:sz w:val="18"/>
              </w:rPr>
              <w:t>Use the sponsor integrations in ways that directly support the real workflow.</w:t>
            </w:r>
          </w:p>
        </w:tc>
      </w:tr>
      <w:tr>
        <w:trPr>
          <w:cantSplit/>
        </w:trPr>
        <w:tc>
          <w:tcPr>
            <w:tcW w:type="dxa" w:w="2088"/>
            <w:tcBorders>
              <w:start w:val="single" w:sz="6" w:color="D8E2EC"/>
              <w:top w:val="single" w:sz="6" w:color="D8E2EC"/>
              <w:end w:val="single" w:sz="6" w:color="D8E2EC"/>
              <w:bottom w:val="single" w:sz="6" w:color="D8E2EC"/>
            </w:tcBorders>
            <w:shd w:fill="F8FAFC"/>
            <w:vAlign w:val="center"/>
          </w:tcPr>
          <w:p>
            <w:pPr>
              <w:spacing w:after="0"/>
            </w:pPr>
            <w:r>
              <w:rPr>
                <w:rFonts w:ascii="Arial" w:hAnsi="Arial"/>
                <w:b/>
                <w:color w:val="0F172A"/>
                <w:sz w:val="18"/>
              </w:rPr>
              <w:t>Key tasks</w:t>
            </w:r>
          </w:p>
        </w:tc>
        <w:tc>
          <w:tcPr>
            <w:tcW w:type="dxa" w:w="7848"/>
            <w:tcBorders>
              <w:start w:val="single" w:sz="6" w:color="D8E2EC"/>
              <w:top w:val="single" w:sz="6" w:color="D8E2EC"/>
              <w:end w:val="single" w:sz="6" w:color="D8E2EC"/>
              <w:bottom w:val="single" w:sz="6" w:color="D8E2EC"/>
            </w:tcBorders>
            <w:vAlign w:val="center"/>
          </w:tcPr>
          <w:p>
            <w:pPr>
              <w:pStyle w:val="ListBullet"/>
              <w:spacing w:before="0" w:after="30" w:line="240" w:lineRule="auto"/>
            </w:pPr>
            <w:r>
              <w:rPr>
                <w:rFonts w:ascii="Arial" w:hAnsi="Arial"/>
                <w:color w:val="334155"/>
                <w:sz w:val="18"/>
              </w:rPr>
              <w:t>Auth0: add login plus role-based views for analyst and access coordinator.</w:t>
            </w:r>
          </w:p>
          <w:p>
            <w:pPr>
              <w:pStyle w:val="ListBullet"/>
              <w:spacing w:before="0" w:after="30" w:line="240" w:lineRule="auto"/>
            </w:pPr>
            <w:r>
              <w:rPr>
                <w:rFonts w:ascii="Arial" w:hAnsi="Arial"/>
                <w:color w:val="334155"/>
                <w:sz w:val="18"/>
              </w:rPr>
              <w:t>Gate sensitive actions such as export, admin review, or internal notes by role.</w:t>
            </w:r>
          </w:p>
          <w:p>
            <w:pPr>
              <w:pStyle w:val="ListBullet"/>
              <w:spacing w:before="0" w:after="30" w:line="240" w:lineRule="auto"/>
            </w:pPr>
            <w:r>
              <w:rPr>
                <w:rFonts w:ascii="Arial" w:hAnsi="Arial"/>
                <w:color w:val="334155"/>
                <w:sz w:val="18"/>
              </w:rPr>
              <w:t>ElevenLabs: ship one stable flow only — a 30-second policy brief or peer-to-peer rehearsal mode.</w:t>
            </w:r>
          </w:p>
          <w:p>
            <w:pPr>
              <w:pStyle w:val="ListBullet"/>
              <w:spacing w:before="0" w:after="30" w:line="240" w:lineRule="auto"/>
            </w:pPr>
            <w:r>
              <w:rPr>
                <w:rFonts w:ascii="Arial" w:hAnsi="Arial"/>
                <w:color w:val="334155"/>
                <w:sz w:val="18"/>
              </w:rPr>
              <w:t>Add clear compliance messaging, minimal event logging, and no PHI-bearing analytics.</w:t>
            </w:r>
          </w:p>
        </w:tc>
      </w:tr>
      <w:tr>
        <w:trPr>
          <w:cantSplit/>
        </w:trPr>
        <w:tc>
          <w:tcPr>
            <w:tcW w:type="dxa" w:w="2088"/>
            <w:tcBorders>
              <w:start w:val="single" w:sz="6" w:color="D8E2EC"/>
              <w:top w:val="single" w:sz="6" w:color="D8E2EC"/>
              <w:end w:val="single" w:sz="6" w:color="D8E2EC"/>
              <w:bottom w:val="single" w:sz="6" w:color="D8E2EC"/>
            </w:tcBorders>
            <w:shd w:fill="F8FAFC"/>
            <w:vAlign w:val="center"/>
          </w:tcPr>
          <w:p>
            <w:pPr>
              <w:spacing w:after="0"/>
            </w:pPr>
            <w:r>
              <w:rPr>
                <w:rFonts w:ascii="Arial" w:hAnsi="Arial"/>
                <w:b/>
                <w:color w:val="0F172A"/>
                <w:sz w:val="18"/>
              </w:rPr>
              <w:t>Done when</w:t>
            </w:r>
          </w:p>
        </w:tc>
        <w:tc>
          <w:tcPr>
            <w:tcW w:type="dxa" w:w="7848"/>
            <w:tcBorders>
              <w:start w:val="single" w:sz="6" w:color="D8E2EC"/>
              <w:top w:val="single" w:sz="6" w:color="D8E2EC"/>
              <w:end w:val="single" w:sz="6" w:color="D8E2EC"/>
              <w:bottom w:val="single" w:sz="6" w:color="D8E2EC"/>
            </w:tcBorders>
            <w:vAlign w:val="center"/>
          </w:tcPr>
          <w:p>
            <w:pPr>
              <w:pStyle w:val="ListBullet"/>
              <w:spacing w:before="0" w:after="30" w:line="240" w:lineRule="auto"/>
            </w:pPr>
            <w:r>
              <w:rPr>
                <w:rFonts w:ascii="Arial" w:hAnsi="Arial"/>
                <w:color w:val="334155"/>
                <w:sz w:val="18"/>
              </w:rPr>
              <w:t>Login works and role changes visible behavior in the app.</w:t>
            </w:r>
          </w:p>
          <w:p>
            <w:pPr>
              <w:pStyle w:val="ListBullet"/>
              <w:spacing w:before="0" w:after="30" w:line="240" w:lineRule="auto"/>
            </w:pPr>
            <w:r>
              <w:rPr>
                <w:rFonts w:ascii="Arial" w:hAnsi="Arial"/>
                <w:color w:val="334155"/>
                <w:sz w:val="18"/>
              </w:rPr>
              <w:t>One reliable voice flow speaks a useful summary, not a gimmick.</w:t>
            </w:r>
          </w:p>
          <w:p>
            <w:pPr>
              <w:pStyle w:val="ListBullet"/>
              <w:spacing w:before="0" w:after="30" w:line="240" w:lineRule="auto"/>
            </w:pPr>
            <w:r>
              <w:rPr>
                <w:rFonts w:ascii="Arial" w:hAnsi="Arial"/>
                <w:color w:val="334155"/>
                <w:sz w:val="18"/>
              </w:rPr>
              <w:t>The security story is simple, honest, and easy to explain to judges.</w:t>
            </w:r>
          </w:p>
        </w:tc>
      </w:tr>
    </w:tbl>
    <w:p>
      <w:pPr>
        <w:spacing w:before="40" w:after="120" w:line="247" w:lineRule="auto"/>
      </w:pPr>
      <w:r>
        <w:rPr>
          <w:rFonts w:ascii="Arial" w:hAnsi="Arial"/>
          <w:b/>
          <w:color w:val="64748B"/>
          <w:sz w:val="18"/>
        </w:rPr>
        <w:t xml:space="preserve">Risk note: </w:t>
      </w:r>
      <w:r>
        <w:rPr>
          <w:rFonts w:ascii="Arial" w:hAnsi="Arial"/>
          <w:i/>
          <w:color w:val="64748B"/>
          <w:sz w:val="18"/>
        </w:rPr>
        <w:t>If voice becomes unstable, keep a single pretested summary flow rather than a full spoken agent experience.</w:t>
      </w:r>
    </w:p>
    <w:tbl>
      <w:tblPr>
        <w:tblW w:type="auto" w:w="0"/>
        <w:jc w:val="center"/>
        <w:tblLayout w:type="fixed"/>
        <w:tblLook w:firstColumn="1" w:firstRow="1" w:lastColumn="0" w:lastRow="0" w:noHBand="0" w:noVBand="1" w:val="04A0"/>
      </w:tblPr>
      <w:tblGrid>
        <w:gridCol w:w="9994"/>
      </w:tblGrid>
      <w:tr>
        <w:tc>
          <w:tcPr>
            <w:tcW w:type="dxa" w:w="9936"/>
            <w:shd w:fill="111827"/>
            <w:tcBorders>
              <w:start w:val="nil"/>
              <w:top w:val="nil"/>
              <w:end w:val="nil"/>
              <w:bottom w:val="nil"/>
            </w:tcBorders>
          </w:tcPr>
          <w:p>
            <w:pPr>
              <w:spacing w:before="0" w:after="0"/>
            </w:pPr>
            <w:r>
              <w:rPr>
                <w:rFonts w:ascii="Arial" w:hAnsi="Arial"/>
                <w:b/>
                <w:color w:val="FFFFFF"/>
                <w:sz w:val="20"/>
              </w:rPr>
              <w:t>SPRINT 7  |  Hardening + pitch lock  |  Hours 45-48</w:t>
            </w:r>
          </w:p>
        </w:tc>
      </w:tr>
    </w:tbl>
    <w:tbl>
      <w:tblPr>
        <w:tblW w:type="auto" w:w="0"/>
        <w:jc w:val="center"/>
        <w:tblLayout w:type="fixed"/>
        <w:tblLook w:firstColumn="1" w:firstRow="1" w:lastColumn="0" w:lastRow="0" w:noHBand="0" w:noVBand="1" w:val="04A0"/>
        <w:tblCellMar>
          <w:top w:w="72" w:type="dxa"/>
          <w:start w:w="105" w:type="dxa"/>
          <w:bottom w:w="72" w:type="dxa"/>
          <w:end w:w="105" w:type="dxa"/>
        </w:tblCellMar>
      </w:tblPr>
      <w:tblGrid>
        <w:gridCol w:w="4997"/>
        <w:gridCol w:w="4997"/>
      </w:tblGrid>
      <w:tr>
        <w:trPr>
          <w:cantSplit/>
        </w:trPr>
        <w:tc>
          <w:tcPr>
            <w:tcW w:type="dxa" w:w="2088"/>
            <w:tcBorders>
              <w:start w:val="single" w:sz="6" w:color="D8E2EC"/>
              <w:top w:val="single" w:sz="6" w:color="D8E2EC"/>
              <w:end w:val="single" w:sz="6" w:color="D8E2EC"/>
              <w:bottom w:val="single" w:sz="6" w:color="D8E2EC"/>
            </w:tcBorders>
            <w:shd w:fill="F8FAFC"/>
            <w:vAlign w:val="center"/>
          </w:tcPr>
          <w:p>
            <w:pPr>
              <w:spacing w:after="0"/>
            </w:pPr>
            <w:r>
              <w:rPr>
                <w:rFonts w:ascii="Arial" w:hAnsi="Arial"/>
                <w:b/>
                <w:color w:val="0F172A"/>
                <w:sz w:val="18"/>
              </w:rPr>
              <w:t>Objective</w:t>
            </w:r>
          </w:p>
        </w:tc>
        <w:tc>
          <w:tcPr>
            <w:tcW w:type="dxa" w:w="7848"/>
            <w:tcBorders>
              <w:start w:val="single" w:sz="6" w:color="D8E2EC"/>
              <w:top w:val="single" w:sz="6" w:color="D8E2EC"/>
              <w:end w:val="single" w:sz="6" w:color="D8E2EC"/>
              <w:bottom w:val="single" w:sz="6" w:color="D8E2EC"/>
            </w:tcBorders>
            <w:vAlign w:val="center"/>
          </w:tcPr>
          <w:p>
            <w:pPr>
              <w:spacing w:after="0"/>
            </w:pPr>
            <w:r>
              <w:rPr>
                <w:rFonts w:ascii="Arial" w:hAnsi="Arial"/>
                <w:color w:val="334155"/>
                <w:sz w:val="18"/>
              </w:rPr>
              <w:t>Protect the demo by removing failure points and freezing the story.</w:t>
            </w:r>
          </w:p>
        </w:tc>
      </w:tr>
      <w:tr>
        <w:trPr>
          <w:cantSplit/>
        </w:trPr>
        <w:tc>
          <w:tcPr>
            <w:tcW w:type="dxa" w:w="2088"/>
            <w:tcBorders>
              <w:start w:val="single" w:sz="6" w:color="D8E2EC"/>
              <w:top w:val="single" w:sz="6" w:color="D8E2EC"/>
              <w:end w:val="single" w:sz="6" w:color="D8E2EC"/>
              <w:bottom w:val="single" w:sz="6" w:color="D8E2EC"/>
            </w:tcBorders>
            <w:shd w:fill="F8FAFC"/>
            <w:vAlign w:val="center"/>
          </w:tcPr>
          <w:p>
            <w:pPr>
              <w:spacing w:after="0"/>
            </w:pPr>
            <w:r>
              <w:rPr>
                <w:rFonts w:ascii="Arial" w:hAnsi="Arial"/>
                <w:b/>
                <w:color w:val="0F172A"/>
                <w:sz w:val="18"/>
              </w:rPr>
              <w:t>Key tasks</w:t>
            </w:r>
          </w:p>
        </w:tc>
        <w:tc>
          <w:tcPr>
            <w:tcW w:type="dxa" w:w="7848"/>
            <w:tcBorders>
              <w:start w:val="single" w:sz="6" w:color="D8E2EC"/>
              <w:top w:val="single" w:sz="6" w:color="D8E2EC"/>
              <w:end w:val="single" w:sz="6" w:color="D8E2EC"/>
              <w:bottom w:val="single" w:sz="6" w:color="D8E2EC"/>
            </w:tcBorders>
            <w:vAlign w:val="center"/>
          </w:tcPr>
          <w:p>
            <w:pPr>
              <w:pStyle w:val="ListBullet"/>
              <w:spacing w:before="0" w:after="30" w:line="240" w:lineRule="auto"/>
            </w:pPr>
            <w:r>
              <w:rPr>
                <w:rFonts w:ascii="Arial" w:hAnsi="Arial"/>
                <w:color w:val="334155"/>
                <w:sz w:val="18"/>
              </w:rPr>
              <w:t>Polish loading states, empty states, badge text, and animation timing.</w:t>
            </w:r>
          </w:p>
          <w:p>
            <w:pPr>
              <w:pStyle w:val="ListBullet"/>
              <w:spacing w:before="0" w:after="30" w:line="240" w:lineRule="auto"/>
            </w:pPr>
            <w:r>
              <w:rPr>
                <w:rFonts w:ascii="Arial" w:hAnsi="Arial"/>
                <w:color w:val="334155"/>
                <w:sz w:val="18"/>
              </w:rPr>
              <w:t>Rehearse the 90-second live path and a 3-minute backup version.</w:t>
            </w:r>
          </w:p>
          <w:p>
            <w:pPr>
              <w:pStyle w:val="ListBullet"/>
              <w:spacing w:before="0" w:after="30" w:line="240" w:lineRule="auto"/>
            </w:pPr>
            <w:r>
              <w:rPr>
                <w:rFonts w:ascii="Arial" w:hAnsi="Arial"/>
                <w:color w:val="334155"/>
                <w:sz w:val="18"/>
              </w:rPr>
              <w:t>Capture fallback screenshots, sample outputs, and a screen recording.</w:t>
            </w:r>
          </w:p>
          <w:p>
            <w:pPr>
              <w:pStyle w:val="ListBullet"/>
              <w:spacing w:before="0" w:after="30" w:line="240" w:lineRule="auto"/>
            </w:pPr>
            <w:r>
              <w:rPr>
                <w:rFonts w:ascii="Arial" w:hAnsi="Arial"/>
                <w:color w:val="334155"/>
                <w:sz w:val="18"/>
              </w:rPr>
              <w:t>Stop all feature additions and run a final QA sweep on every route.</w:t>
            </w:r>
          </w:p>
        </w:tc>
      </w:tr>
      <w:tr>
        <w:trPr>
          <w:cantSplit/>
        </w:trPr>
        <w:tc>
          <w:tcPr>
            <w:tcW w:type="dxa" w:w="2088"/>
            <w:tcBorders>
              <w:start w:val="single" w:sz="6" w:color="D8E2EC"/>
              <w:top w:val="single" w:sz="6" w:color="D8E2EC"/>
              <w:end w:val="single" w:sz="6" w:color="D8E2EC"/>
              <w:bottom w:val="single" w:sz="6" w:color="D8E2EC"/>
            </w:tcBorders>
            <w:shd w:fill="F8FAFC"/>
            <w:vAlign w:val="center"/>
          </w:tcPr>
          <w:p>
            <w:pPr>
              <w:spacing w:after="0"/>
            </w:pPr>
            <w:r>
              <w:rPr>
                <w:rFonts w:ascii="Arial" w:hAnsi="Arial"/>
                <w:b/>
                <w:color w:val="0F172A"/>
                <w:sz w:val="18"/>
              </w:rPr>
              <w:t>Done when</w:t>
            </w:r>
          </w:p>
        </w:tc>
        <w:tc>
          <w:tcPr>
            <w:tcW w:type="dxa" w:w="7848"/>
            <w:tcBorders>
              <w:start w:val="single" w:sz="6" w:color="D8E2EC"/>
              <w:top w:val="single" w:sz="6" w:color="D8E2EC"/>
              <w:end w:val="single" w:sz="6" w:color="D8E2EC"/>
              <w:bottom w:val="single" w:sz="6" w:color="D8E2EC"/>
            </w:tcBorders>
            <w:vAlign w:val="center"/>
          </w:tcPr>
          <w:p>
            <w:pPr>
              <w:pStyle w:val="ListBullet"/>
              <w:spacing w:before="0" w:after="30" w:line="240" w:lineRule="auto"/>
            </w:pPr>
            <w:r>
              <w:rPr>
                <w:rFonts w:ascii="Arial" w:hAnsi="Arial"/>
                <w:color w:val="334155"/>
                <w:sz w:val="18"/>
              </w:rPr>
              <w:t>Zero broken routes, missing citations, or dead-end UI states.</w:t>
            </w:r>
          </w:p>
          <w:p>
            <w:pPr>
              <w:pStyle w:val="ListBullet"/>
              <w:spacing w:before="0" w:after="30" w:line="240" w:lineRule="auto"/>
            </w:pPr>
            <w:r>
              <w:rPr>
                <w:rFonts w:ascii="Arial" w:hAnsi="Arial"/>
                <w:color w:val="334155"/>
                <w:sz w:val="18"/>
              </w:rPr>
              <w:t>Backup assets are saved locally and ready if Wi-Fi fails.</w:t>
            </w:r>
          </w:p>
          <w:p>
            <w:pPr>
              <w:pStyle w:val="ListBullet"/>
              <w:spacing w:before="0" w:after="30" w:line="240" w:lineRule="auto"/>
            </w:pPr>
            <w:r>
              <w:rPr>
                <w:rFonts w:ascii="Arial" w:hAnsi="Arial"/>
                <w:color w:val="334155"/>
                <w:sz w:val="18"/>
              </w:rPr>
              <w:t>Pitch hits problem, solution, sponsor fit, technical novelty, and future impact.</w:t>
            </w:r>
          </w:p>
        </w:tc>
      </w:tr>
    </w:tbl>
    <w:p>
      <w:pPr>
        <w:spacing w:before="40" w:after="120" w:line="247" w:lineRule="auto"/>
      </w:pPr>
      <w:r>
        <w:rPr>
          <w:rFonts w:ascii="Arial" w:hAnsi="Arial"/>
          <w:b/>
          <w:color w:val="64748B"/>
          <w:sz w:val="18"/>
        </w:rPr>
        <w:t xml:space="preserve">Risk note: </w:t>
      </w:r>
      <w:r>
        <w:rPr>
          <w:rFonts w:ascii="Arial" w:hAnsi="Arial"/>
          <w:i/>
          <w:color w:val="64748B"/>
          <w:sz w:val="18"/>
        </w:rPr>
        <w:t>The last three hours should feel boring. Boring means stable, and stable wins demos.</w:t>
      </w:r>
    </w:p>
    <w:tbl>
      <w:tblPr>
        <w:tblW w:type="auto" w:w="0"/>
        <w:jc w:val="center"/>
        <w:tblLayout w:type="fixed"/>
        <w:tblLook w:firstColumn="1" w:firstRow="1" w:lastColumn="0" w:lastRow="0" w:noHBand="0" w:noVBand="1" w:val="04A0"/>
        <w:tblCellMar>
          <w:top w:w="90" w:type="dxa"/>
          <w:start w:w="120" w:type="dxa"/>
          <w:bottom w:w="90" w:type="dxa"/>
          <w:end w:w="120" w:type="dxa"/>
        </w:tblCellMar>
      </w:tblPr>
      <w:tblGrid>
        <w:gridCol w:w="9994"/>
      </w:tblGrid>
      <w:tr>
        <w:tc>
          <w:tcPr>
            <w:tcW w:type="dxa" w:w="9936"/>
            <w:shd w:fill="F8FAFC"/>
            <w:tcBorders>
              <w:start w:val="single" w:sz="8" w:color="CFE0F5"/>
              <w:top w:val="single" w:sz="8" w:color="CFE0F5"/>
              <w:end w:val="single" w:sz="8" w:color="CFE0F5"/>
              <w:bottom w:val="single" w:sz="8" w:color="CFE0F5"/>
            </w:tcBorders>
            <w:vAlign w:val="center"/>
          </w:tcPr>
          <w:p>
            <w:pPr>
              <w:spacing w:after="40"/>
            </w:pPr>
            <w:r>
              <w:rPr>
                <w:rFonts w:ascii="Arial" w:hAnsi="Arial"/>
                <w:b/>
                <w:color w:val="0F172A"/>
                <w:sz w:val="21"/>
              </w:rPr>
              <w:t>Contingency tree if the build falls behind</w:t>
            </w:r>
          </w:p>
          <w:p>
            <w:pPr>
              <w:spacing w:before="0" w:after="0" w:line="259" w:lineRule="auto"/>
            </w:pPr>
            <w:r>
              <w:rPr>
                <w:rFonts w:ascii="Arial" w:hAnsi="Arial"/>
                <w:color w:val="334155"/>
                <w:sz w:val="20"/>
              </w:rPr>
              <w:t>If parsing is weak, manually curate the best 12 documents and proceed. If semantic diff slips, ship structured criteria comparisons for two version pairs only. If Auth0 takes too long, keep login and one role-sensitive view. If ElevenLabs is unstable, use one pretested voice brief modal instead of a live conversation.</w:t>
            </w:r>
          </w:p>
        </w:tc>
      </w:tr>
    </w:tbl>
    <w:p>
      <w:r>
        <w:br w:type="page"/>
      </w:r>
    </w:p>
    <w:p>
      <w:pPr>
        <w:pStyle w:val="Heading1"/>
        <w:spacing w:before="0" w:after="80" w:line="259" w:lineRule="auto"/>
      </w:pPr>
      <w:r>
        <w:rPr>
          <w:rFonts w:ascii="Arial" w:hAnsi="Arial"/>
          <w:b w:val="0"/>
          <w:color w:val="334155"/>
          <w:sz w:val="21"/>
        </w:rPr>
        <w:t>5. Detailed sprint plan | final demo lock</w:t>
      </w:r>
    </w:p>
    <w:p>
      <w:pPr>
        <w:spacing w:before="0" w:after="120" w:line="259" w:lineRule="auto"/>
      </w:pPr>
      <w:r>
        <w:rPr>
          <w:rFonts w:ascii="Arial" w:hAnsi="Arial"/>
          <w:b w:val="0"/>
          <w:color w:val="334155"/>
          <w:sz w:val="21"/>
        </w:rPr>
        <w:t>Use the last hours to make the judges feel the product is finished, trustworthy, and easy to understand.</w:t>
      </w:r>
    </w:p>
    <w:tbl>
      <w:tblPr>
        <w:tblW w:type="auto" w:w="0"/>
        <w:jc w:val="center"/>
        <w:tblLayout w:type="fixed"/>
        <w:tblLook w:firstColumn="1" w:firstRow="1" w:lastColumn="0" w:lastRow="0" w:noHBand="0" w:noVBand="1" w:val="04A0"/>
        <w:tblCellMar>
          <w:top w:w="95" w:type="dxa"/>
          <w:start w:w="110" w:type="dxa"/>
          <w:bottom w:w="95" w:type="dxa"/>
          <w:end w:w="110" w:type="dxa"/>
        </w:tblCellMar>
      </w:tblPr>
      <w:tblGrid>
        <w:gridCol w:w="4997"/>
        <w:gridCol w:w="4997"/>
      </w:tblGrid>
      <w:tr>
        <w:tc>
          <w:tcPr>
            <w:tcW w:type="dxa" w:w="4968"/>
            <w:shd w:fill="F8FAFC"/>
            <w:tcBorders>
              <w:start w:val="single" w:sz="8" w:color="D8E2EC"/>
              <w:top w:val="single" w:sz="8" w:color="D8E2EC"/>
              <w:end w:val="single" w:sz="8" w:color="D8E2EC"/>
              <w:bottom w:val="single" w:sz="8" w:color="D8E2EC"/>
            </w:tcBorders>
          </w:tcPr>
          <w:p>
            <w:r>
              <w:rPr>
                <w:rFonts w:ascii="Arial" w:hAnsi="Arial"/>
                <w:b/>
                <w:color w:val="0F172A"/>
                <w:sz w:val="20"/>
              </w:rPr>
              <w:t>90-second demo arc</w:t>
            </w:r>
          </w:p>
          <w:p>
            <w:pPr>
              <w:pStyle w:val="ListBullet"/>
              <w:spacing w:before="0" w:after="30" w:line="240" w:lineRule="auto"/>
            </w:pPr>
            <w:r>
              <w:rPr>
                <w:rFonts w:ascii="Arial" w:hAnsi="Arial"/>
                <w:color w:val="334155"/>
                <w:sz w:val="18"/>
              </w:rPr>
              <w:t>Start with a drug query in the Coverage Matrix.</w:t>
            </w:r>
          </w:p>
          <w:p>
            <w:pPr>
              <w:pStyle w:val="ListBullet"/>
              <w:spacing w:before="0" w:after="30" w:line="240" w:lineRule="auto"/>
            </w:pPr>
            <w:r>
              <w:rPr>
                <w:rFonts w:ascii="Arial" w:hAnsi="Arial"/>
                <w:color w:val="334155"/>
                <w:sz w:val="18"/>
              </w:rPr>
              <w:t>Open one payer policy and show visible source citations.</w:t>
            </w:r>
          </w:p>
          <w:p>
            <w:pPr>
              <w:pStyle w:val="ListBullet"/>
              <w:spacing w:before="0" w:after="30" w:line="240" w:lineRule="auto"/>
            </w:pPr>
            <w:r>
              <w:rPr>
                <w:rFonts w:ascii="Arial" w:hAnsi="Arial"/>
                <w:color w:val="334155"/>
                <w:sz w:val="18"/>
              </w:rPr>
              <w:t>Run a synthetic case and surface blockers plus next-best action.</w:t>
            </w:r>
          </w:p>
          <w:p>
            <w:pPr>
              <w:pStyle w:val="ListBullet"/>
              <w:spacing w:before="0" w:after="30" w:line="240" w:lineRule="auto"/>
            </w:pPr>
            <w:r>
              <w:rPr>
                <w:rFonts w:ascii="Arial" w:hAnsi="Arial"/>
                <w:color w:val="334155"/>
                <w:sz w:val="18"/>
              </w:rPr>
              <w:t>Finish with a quarter-over-quarter change that tightened access.</w:t>
            </w:r>
          </w:p>
        </w:tc>
        <w:tc>
          <w:tcPr>
            <w:tcW w:type="dxa" w:w="4968"/>
            <w:shd w:fill="F8FAFC"/>
            <w:tcBorders>
              <w:start w:val="single" w:sz="8" w:color="D8E2EC"/>
              <w:top w:val="single" w:sz="8" w:color="D8E2EC"/>
              <w:end w:val="single" w:sz="8" w:color="D8E2EC"/>
              <w:bottom w:val="single" w:sz="8" w:color="D8E2EC"/>
            </w:tcBorders>
          </w:tcPr>
          <w:p>
            <w:r>
              <w:rPr>
                <w:rFonts w:ascii="Arial" w:hAnsi="Arial"/>
                <w:b/>
                <w:color w:val="0F172A"/>
                <w:sz w:val="20"/>
              </w:rPr>
              <w:t>Submission checklist</w:t>
            </w:r>
          </w:p>
          <w:p>
            <w:pPr>
              <w:pStyle w:val="ListBullet"/>
              <w:spacing w:before="0" w:after="30" w:line="240" w:lineRule="auto"/>
            </w:pPr>
            <w:r>
              <w:rPr>
                <w:rFonts w:ascii="Arial" w:hAnsi="Arial"/>
                <w:color w:val="334155"/>
                <w:sz w:val="18"/>
              </w:rPr>
              <w:t>README explains public-data-only and synthetic-case posture.</w:t>
            </w:r>
          </w:p>
          <w:p>
            <w:pPr>
              <w:pStyle w:val="ListBullet"/>
              <w:spacing w:before="0" w:after="30" w:line="240" w:lineRule="auto"/>
            </w:pPr>
            <w:r>
              <w:rPr>
                <w:rFonts w:ascii="Arial" w:hAnsi="Arial"/>
                <w:color w:val="334155"/>
                <w:sz w:val="18"/>
              </w:rPr>
              <w:t>Screenshots capture matrix, simulator, and change radar.</w:t>
            </w:r>
          </w:p>
          <w:p>
            <w:pPr>
              <w:pStyle w:val="ListBullet"/>
              <w:spacing w:before="0" w:after="30" w:line="240" w:lineRule="auto"/>
            </w:pPr>
            <w:r>
              <w:rPr>
                <w:rFonts w:ascii="Arial" w:hAnsi="Arial"/>
                <w:color w:val="334155"/>
                <w:sz w:val="18"/>
              </w:rPr>
              <w:t>Architecture diagram labels Auth0 and ElevenLabs clearly.</w:t>
            </w:r>
          </w:p>
          <w:p>
            <w:pPr>
              <w:pStyle w:val="ListBullet"/>
              <w:spacing w:before="0" w:after="30" w:line="240" w:lineRule="auto"/>
            </w:pPr>
            <w:r>
              <w:rPr>
                <w:rFonts w:ascii="Arial" w:hAnsi="Arial"/>
                <w:color w:val="334155"/>
                <w:sz w:val="18"/>
              </w:rPr>
              <w:t>Pitch deck repeats the one-sentence wedge consistently.</w:t>
            </w:r>
          </w:p>
        </w:tc>
      </w:tr>
    </w:tbl>
    <w:p>
      <w:pPr>
        <w:spacing w:after="80" w:before="0"/>
      </w:pPr>
    </w:p>
    <w:p>
      <w:pPr>
        <w:spacing w:before="120" w:after="60"/>
      </w:pPr>
      <w:r>
        <w:rPr>
          <w:rFonts w:ascii="Arial" w:hAnsi="Arial"/>
          <w:b/>
          <w:color w:val="0F172A"/>
          <w:sz w:val="23"/>
        </w:rPr>
        <w:t>Pitch spine to rehearse</w:t>
      </w:r>
    </w:p>
    <w:tbl>
      <w:tblPr>
        <w:tblW w:type="auto" w:w="0"/>
        <w:jc w:val="center"/>
        <w:tblLayout w:type="fixed"/>
        <w:tblLook w:firstColumn="1" w:firstRow="1" w:lastColumn="0" w:lastRow="0" w:noHBand="0" w:noVBand="1" w:val="04A0"/>
        <w:tblCellMar>
          <w:top w:w="75" w:type="dxa"/>
          <w:start w:w="95" w:type="dxa"/>
          <w:bottom w:w="75" w:type="dxa"/>
          <w:end w:w="95" w:type="dxa"/>
        </w:tblCellMar>
      </w:tblPr>
      <w:tblGrid>
        <w:gridCol w:w="4997"/>
        <w:gridCol w:w="4997"/>
      </w:tblGrid>
      <w:tr>
        <w:tc>
          <w:tcPr>
            <w:tcW w:type="dxa" w:w="1944"/>
            <w:tcBorders>
              <w:start w:val="single" w:sz="6" w:color="D8E2EC"/>
              <w:top w:val="single" w:sz="6" w:color="D8E2EC"/>
              <w:end w:val="single" w:sz="6" w:color="D8E2EC"/>
              <w:bottom w:val="single" w:sz="6" w:color="D8E2EC"/>
            </w:tcBorders>
          </w:tcPr>
          <w:p/>
        </w:tc>
        <w:tc>
          <w:tcPr>
            <w:tcW w:type="dxa" w:w="7992"/>
            <w:tcBorders>
              <w:start w:val="single" w:sz="6" w:color="D8E2EC"/>
              <w:top w:val="single" w:sz="6" w:color="D8E2EC"/>
              <w:end w:val="single" w:sz="6" w:color="D8E2EC"/>
              <w:bottom w:val="single" w:sz="6" w:color="D8E2EC"/>
            </w:tcBorders>
          </w:tcPr>
          <w:p/>
        </w:tc>
      </w:tr>
      <w:tr>
        <w:tc>
          <w:tcPr>
            <w:tcW w:type="dxa" w:w="1944"/>
            <w:tcBorders>
              <w:start w:val="single" w:sz="6" w:color="D8E2EC"/>
              <w:top w:val="single" w:sz="6" w:color="D8E2EC"/>
              <w:end w:val="single" w:sz="6" w:color="D8E2EC"/>
              <w:bottom w:val="single" w:sz="6" w:color="D8E2EC"/>
            </w:tcBorders>
            <w:shd w:fill="F8FAFC"/>
          </w:tcPr>
          <w:p>
            <w:pPr>
              <w:spacing w:after="0"/>
              <w:jc w:val="center"/>
            </w:pPr>
            <w:r>
              <w:rPr>
                <w:rFonts w:ascii="Arial" w:hAnsi="Arial"/>
                <w:b/>
                <w:color w:val="334155"/>
                <w:sz w:val="18"/>
              </w:rPr>
              <w:t>1</w:t>
            </w:r>
          </w:p>
        </w:tc>
        <w:tc>
          <w:tcPr>
            <w:tcW w:type="dxa" w:w="7992"/>
            <w:tcBorders>
              <w:start w:val="single" w:sz="6" w:color="D8E2EC"/>
              <w:top w:val="single" w:sz="6" w:color="D8E2EC"/>
              <w:end w:val="single" w:sz="6" w:color="D8E2EC"/>
              <w:bottom w:val="single" w:sz="6" w:color="D8E2EC"/>
            </w:tcBorders>
          </w:tcPr>
          <w:p>
            <w:pPr>
              <w:spacing w:after="0"/>
              <w:jc w:val="left"/>
            </w:pPr>
            <w:r>
              <w:rPr>
                <w:rFonts w:ascii="Arial" w:hAnsi="Arial"/>
                <w:b w:val="0"/>
                <w:color w:val="334155"/>
                <w:sz w:val="18"/>
              </w:rPr>
              <w:t>Why this problem matters: coverage rules are fragmented, inconsistent, and slow down access.</w:t>
            </w:r>
          </w:p>
        </w:tc>
      </w:tr>
      <w:tr>
        <w:tc>
          <w:tcPr>
            <w:tcW w:type="dxa" w:w="1944"/>
            <w:tcBorders>
              <w:start w:val="single" w:sz="6" w:color="D8E2EC"/>
              <w:top w:val="single" w:sz="6" w:color="D8E2EC"/>
              <w:end w:val="single" w:sz="6" w:color="D8E2EC"/>
              <w:bottom w:val="single" w:sz="6" w:color="D8E2EC"/>
            </w:tcBorders>
            <w:shd w:fill="F8FAFC"/>
          </w:tcPr>
          <w:p>
            <w:pPr>
              <w:spacing w:after="0"/>
              <w:jc w:val="center"/>
            </w:pPr>
            <w:r>
              <w:rPr>
                <w:rFonts w:ascii="Arial" w:hAnsi="Arial"/>
                <w:b/>
                <w:color w:val="334155"/>
                <w:sz w:val="18"/>
              </w:rPr>
              <w:t>2</w:t>
            </w:r>
          </w:p>
        </w:tc>
        <w:tc>
          <w:tcPr>
            <w:tcW w:type="dxa" w:w="7992"/>
            <w:tcBorders>
              <w:start w:val="single" w:sz="6" w:color="D8E2EC"/>
              <w:top w:val="single" w:sz="6" w:color="D8E2EC"/>
              <w:end w:val="single" w:sz="6" w:color="D8E2EC"/>
              <w:bottom w:val="single" w:sz="6" w:color="D8E2EC"/>
            </w:tcBorders>
          </w:tcPr>
          <w:p>
            <w:pPr>
              <w:spacing w:after="0"/>
              <w:jc w:val="left"/>
            </w:pPr>
            <w:r>
              <w:rPr>
                <w:rFonts w:ascii="Arial" w:hAnsi="Arial"/>
                <w:b w:val="0"/>
                <w:color w:val="334155"/>
                <w:sz w:val="18"/>
              </w:rPr>
              <w:t>What PrismRx does: normalize policy language into comparable, queryable Policy DNA.</w:t>
            </w:r>
          </w:p>
        </w:tc>
      </w:tr>
      <w:tr>
        <w:tc>
          <w:tcPr>
            <w:tcW w:type="dxa" w:w="1944"/>
            <w:tcBorders>
              <w:start w:val="single" w:sz="6" w:color="D8E2EC"/>
              <w:top w:val="single" w:sz="6" w:color="D8E2EC"/>
              <w:end w:val="single" w:sz="6" w:color="D8E2EC"/>
              <w:bottom w:val="single" w:sz="6" w:color="D8E2EC"/>
            </w:tcBorders>
            <w:shd w:fill="F8FAFC"/>
          </w:tcPr>
          <w:p>
            <w:pPr>
              <w:spacing w:after="0"/>
              <w:jc w:val="center"/>
            </w:pPr>
            <w:r>
              <w:rPr>
                <w:rFonts w:ascii="Arial" w:hAnsi="Arial"/>
                <w:b/>
                <w:color w:val="334155"/>
                <w:sz w:val="18"/>
              </w:rPr>
              <w:t>3</w:t>
            </w:r>
          </w:p>
        </w:tc>
        <w:tc>
          <w:tcPr>
            <w:tcW w:type="dxa" w:w="7992"/>
            <w:tcBorders>
              <w:start w:val="single" w:sz="6" w:color="D8E2EC"/>
              <w:top w:val="single" w:sz="6" w:color="D8E2EC"/>
              <w:end w:val="single" w:sz="6" w:color="D8E2EC"/>
              <w:bottom w:val="single" w:sz="6" w:color="D8E2EC"/>
            </w:tcBorders>
          </w:tcPr>
          <w:p>
            <w:pPr>
              <w:spacing w:after="0"/>
              <w:jc w:val="left"/>
            </w:pPr>
            <w:r>
              <w:rPr>
                <w:rFonts w:ascii="Arial" w:hAnsi="Arial"/>
                <w:b w:val="0"/>
                <w:color w:val="334155"/>
                <w:sz w:val="18"/>
              </w:rPr>
              <w:t>Show the live demo: matrix, policy detail, synthetic case blocker view, and policy change.</w:t>
            </w:r>
          </w:p>
        </w:tc>
      </w:tr>
      <w:tr>
        <w:tc>
          <w:tcPr>
            <w:tcW w:type="dxa" w:w="1944"/>
            <w:tcBorders>
              <w:start w:val="single" w:sz="6" w:color="D8E2EC"/>
              <w:top w:val="single" w:sz="6" w:color="D8E2EC"/>
              <w:end w:val="single" w:sz="6" w:color="D8E2EC"/>
              <w:bottom w:val="single" w:sz="6" w:color="D8E2EC"/>
            </w:tcBorders>
            <w:shd w:fill="F8FAFC"/>
          </w:tcPr>
          <w:p>
            <w:pPr>
              <w:spacing w:after="0"/>
              <w:jc w:val="center"/>
            </w:pPr>
            <w:r>
              <w:rPr>
                <w:rFonts w:ascii="Arial" w:hAnsi="Arial"/>
                <w:b/>
                <w:color w:val="334155"/>
                <w:sz w:val="18"/>
              </w:rPr>
              <w:t>4</w:t>
            </w:r>
          </w:p>
        </w:tc>
        <w:tc>
          <w:tcPr>
            <w:tcW w:type="dxa" w:w="7992"/>
            <w:tcBorders>
              <w:start w:val="single" w:sz="6" w:color="D8E2EC"/>
              <w:top w:val="single" w:sz="6" w:color="D8E2EC"/>
              <w:end w:val="single" w:sz="6" w:color="D8E2EC"/>
              <w:bottom w:val="single" w:sz="6" w:color="D8E2EC"/>
            </w:tcBorders>
          </w:tcPr>
          <w:p>
            <w:pPr>
              <w:spacing w:after="0"/>
              <w:jc w:val="left"/>
            </w:pPr>
            <w:r>
              <w:rPr>
                <w:rFonts w:ascii="Arial" w:hAnsi="Arial"/>
                <w:b w:val="0"/>
                <w:color w:val="334155"/>
                <w:sz w:val="18"/>
              </w:rPr>
              <w:t>Why the sponsor tools matter: Auth0 secures role-based workflows and ElevenLabs delivers one clear spoken brief.</w:t>
            </w:r>
          </w:p>
        </w:tc>
      </w:tr>
      <w:tr>
        <w:tc>
          <w:tcPr>
            <w:tcW w:type="dxa" w:w="1944"/>
            <w:tcBorders>
              <w:start w:val="single" w:sz="6" w:color="D8E2EC"/>
              <w:top w:val="single" w:sz="6" w:color="D8E2EC"/>
              <w:end w:val="single" w:sz="6" w:color="D8E2EC"/>
              <w:bottom w:val="single" w:sz="6" w:color="D8E2EC"/>
            </w:tcBorders>
            <w:shd w:fill="F8FAFC"/>
          </w:tcPr>
          <w:p>
            <w:pPr>
              <w:spacing w:after="0"/>
              <w:jc w:val="center"/>
            </w:pPr>
            <w:r>
              <w:rPr>
                <w:rFonts w:ascii="Arial" w:hAnsi="Arial"/>
                <w:b/>
                <w:color w:val="334155"/>
                <w:sz w:val="18"/>
              </w:rPr>
              <w:t>5</w:t>
            </w:r>
          </w:p>
        </w:tc>
        <w:tc>
          <w:tcPr>
            <w:tcW w:type="dxa" w:w="7992"/>
            <w:tcBorders>
              <w:start w:val="single" w:sz="6" w:color="D8E2EC"/>
              <w:top w:val="single" w:sz="6" w:color="D8E2EC"/>
              <w:end w:val="single" w:sz="6" w:color="D8E2EC"/>
              <w:bottom w:val="single" w:sz="6" w:color="D8E2EC"/>
            </w:tcBorders>
          </w:tcPr>
          <w:p>
            <w:pPr>
              <w:spacing w:after="0"/>
              <w:jc w:val="left"/>
            </w:pPr>
            <w:r>
              <w:rPr>
                <w:rFonts w:ascii="Arial" w:hAnsi="Arial"/>
                <w:b w:val="0"/>
                <w:color w:val="334155"/>
                <w:sz w:val="18"/>
              </w:rPr>
              <w:t>Future value: more payers, broader therapeutic areas, and production-grade compliance controls later.</w:t>
            </w:r>
          </w:p>
        </w:tc>
      </w:tr>
    </w:tbl>
    <w:p>
      <w:pPr>
        <w:spacing w:after="80" w:before="0"/>
      </w:pPr>
    </w:p>
    <w:tbl>
      <w:tblPr>
        <w:tblW w:type="auto" w:w="0"/>
        <w:jc w:val="center"/>
        <w:tblLayout w:type="fixed"/>
        <w:tblLook w:firstColumn="1" w:firstRow="1" w:lastColumn="0" w:lastRow="0" w:noHBand="0" w:noVBand="1" w:val="04A0"/>
        <w:tblCellMar>
          <w:top w:w="90" w:type="dxa"/>
          <w:start w:w="120" w:type="dxa"/>
          <w:bottom w:w="90" w:type="dxa"/>
          <w:end w:w="120" w:type="dxa"/>
        </w:tblCellMar>
      </w:tblPr>
      <w:tblGrid>
        <w:gridCol w:w="9994"/>
      </w:tblGrid>
      <w:tr>
        <w:tc>
          <w:tcPr>
            <w:tcW w:type="dxa" w:w="9936"/>
            <w:shd w:fill="EEF6FF"/>
            <w:tcBorders>
              <w:start w:val="single" w:sz="8" w:color="CFE0F5"/>
              <w:top w:val="single" w:sz="8" w:color="CFE0F5"/>
              <w:end w:val="single" w:sz="8" w:color="CFE0F5"/>
              <w:bottom w:val="single" w:sz="8" w:color="CFE0F5"/>
            </w:tcBorders>
            <w:vAlign w:val="center"/>
          </w:tcPr>
          <w:p>
            <w:pPr>
              <w:spacing w:after="40"/>
            </w:pPr>
            <w:r>
              <w:rPr>
                <w:rFonts w:ascii="Arial" w:hAnsi="Arial"/>
                <w:b/>
                <w:color w:val="0F172A"/>
                <w:sz w:val="21"/>
              </w:rPr>
              <w:t>Final reminder</w:t>
            </w:r>
          </w:p>
          <w:p>
            <w:pPr>
              <w:spacing w:before="0" w:after="0" w:line="259" w:lineRule="auto"/>
            </w:pPr>
            <w:r>
              <w:rPr>
                <w:rFonts w:ascii="Arial" w:hAnsi="Arial"/>
                <w:color w:val="334155"/>
                <w:sz w:val="20"/>
              </w:rPr>
              <w:t>Record the backup walkthrough before polishing the last visual details. Stability beats one more unfinished feature.</w:t>
            </w:r>
          </w:p>
        </w:tc>
      </w:tr>
    </w:tbl>
    <w:p>
      <w:r>
        <w:br w:type="page"/>
      </w:r>
    </w:p>
    <w:p>
      <w:pPr>
        <w:pStyle w:val="Heading1"/>
        <w:spacing w:before="0" w:after="80" w:line="259" w:lineRule="auto"/>
      </w:pPr>
      <w:r>
        <w:rPr>
          <w:rFonts w:ascii="Arial" w:hAnsi="Arial"/>
          <w:b w:val="0"/>
          <w:color w:val="334155"/>
          <w:sz w:val="21"/>
        </w:rPr>
        <w:t>6. Quick reference appendix</w:t>
      </w:r>
    </w:p>
    <w:p>
      <w:pPr>
        <w:spacing w:before="0" w:after="120" w:line="259" w:lineRule="auto"/>
      </w:pPr>
      <w:r>
        <w:rPr>
          <w:rFonts w:ascii="Arial" w:hAnsi="Arial"/>
          <w:b w:val="0"/>
          <w:color w:val="334155"/>
          <w:sz w:val="21"/>
        </w:rPr>
        <w:t>These lists make Sprint 0 faster by turning open-ended research into a fixed starting set.</w:t>
      </w:r>
    </w:p>
    <w:tbl>
      <w:tblPr>
        <w:tblW w:type="auto" w:w="0"/>
        <w:jc w:val="center"/>
        <w:tblLayout w:type="fixed"/>
        <w:tblLook w:firstColumn="1" w:firstRow="1" w:lastColumn="0" w:lastRow="0" w:noHBand="0" w:noVBand="1" w:val="04A0"/>
        <w:tblCellMar>
          <w:top w:w="80" w:type="dxa"/>
          <w:start w:w="95" w:type="dxa"/>
          <w:bottom w:w="80" w:type="dxa"/>
          <w:end w:w="95" w:type="dxa"/>
        </w:tblCellMar>
      </w:tblPr>
      <w:tblGrid>
        <w:gridCol w:w="3331"/>
        <w:gridCol w:w="3331"/>
        <w:gridCol w:w="3331"/>
      </w:tblGrid>
      <w:tr>
        <w:tc>
          <w:tcPr>
            <w:tcW w:type="dxa" w:w="3168"/>
            <w:tcBorders>
              <w:start w:val="single" w:sz="6" w:color="D8E2EC"/>
              <w:top w:val="single" w:sz="6" w:color="D8E2EC"/>
              <w:end w:val="single" w:sz="6" w:color="D8E2EC"/>
              <w:bottom w:val="single" w:sz="6" w:color="D8E2EC"/>
            </w:tcBorders>
            <w:shd w:fill="0F172A"/>
            <w:vAlign w:val="center"/>
          </w:tcPr>
          <w:p>
            <w:pPr>
              <w:spacing w:before="0" w:after="0"/>
              <w:jc w:val="center"/>
            </w:pPr>
            <w:r>
              <w:rPr>
                <w:rFonts w:ascii="Arial" w:hAnsi="Arial"/>
                <w:b/>
                <w:color w:val="FFFFFF"/>
                <w:sz w:val="18"/>
              </w:rPr>
              <w:t>Data source</w:t>
            </w:r>
          </w:p>
        </w:tc>
        <w:tc>
          <w:tcPr>
            <w:tcW w:type="dxa" w:w="5184"/>
            <w:tcBorders>
              <w:start w:val="single" w:sz="6" w:color="D8E2EC"/>
              <w:top w:val="single" w:sz="6" w:color="D8E2EC"/>
              <w:end w:val="single" w:sz="6" w:color="D8E2EC"/>
              <w:bottom w:val="single" w:sz="6" w:color="D8E2EC"/>
            </w:tcBorders>
            <w:shd w:fill="0F172A"/>
            <w:vAlign w:val="center"/>
          </w:tcPr>
          <w:p>
            <w:pPr>
              <w:spacing w:before="0" w:after="0"/>
              <w:jc w:val="center"/>
            </w:pPr>
            <w:r>
              <w:rPr>
                <w:rFonts w:ascii="Arial" w:hAnsi="Arial"/>
                <w:b/>
                <w:color w:val="FFFFFF"/>
                <w:sz w:val="18"/>
              </w:rPr>
              <w:t>Use in PrismRx</w:t>
            </w:r>
          </w:p>
        </w:tc>
        <w:tc>
          <w:tcPr>
            <w:tcW w:type="dxa" w:w="1584"/>
            <w:tcBorders>
              <w:start w:val="single" w:sz="6" w:color="D8E2EC"/>
              <w:top w:val="single" w:sz="6" w:color="D8E2EC"/>
              <w:end w:val="single" w:sz="6" w:color="D8E2EC"/>
              <w:bottom w:val="single" w:sz="6" w:color="D8E2EC"/>
            </w:tcBorders>
            <w:shd w:fill="0F172A"/>
            <w:vAlign w:val="center"/>
          </w:tcPr>
          <w:p>
            <w:pPr>
              <w:spacing w:before="0" w:after="0"/>
              <w:jc w:val="center"/>
            </w:pPr>
            <w:r>
              <w:rPr>
                <w:rFonts w:ascii="Arial" w:hAnsi="Arial"/>
                <w:b/>
                <w:color w:val="FFFFFF"/>
                <w:sz w:val="18"/>
              </w:rPr>
              <w:t>Priority</w:t>
            </w:r>
          </w:p>
        </w:tc>
      </w:tr>
      <w:tr>
        <w:tc>
          <w:tcPr>
            <w:tcW w:type="dxa" w:w="3168"/>
            <w:tcBorders>
              <w:start w:val="single" w:sz="6" w:color="D8E2EC"/>
              <w:top w:val="single" w:sz="6" w:color="D8E2EC"/>
              <w:end w:val="single" w:sz="6" w:color="D8E2EC"/>
              <w:bottom w:val="single" w:sz="6" w:color="D8E2EC"/>
            </w:tcBorders>
            <w:vAlign w:val="center"/>
          </w:tcPr>
          <w:p>
            <w:pPr>
              <w:spacing w:after="0"/>
              <w:jc w:val="left"/>
            </w:pPr>
            <w:r>
              <w:rPr>
                <w:rFonts w:ascii="Arial" w:hAnsi="Arial"/>
                <w:color w:val="334155"/>
                <w:sz w:val="18"/>
              </w:rPr>
              <w:t>Aetna medical policy bulletins</w:t>
            </w:r>
          </w:p>
        </w:tc>
        <w:tc>
          <w:tcPr>
            <w:tcW w:type="dxa" w:w="5184"/>
            <w:tcBorders>
              <w:start w:val="single" w:sz="6" w:color="D8E2EC"/>
              <w:top w:val="single" w:sz="6" w:color="D8E2EC"/>
              <w:end w:val="single" w:sz="6" w:color="D8E2EC"/>
              <w:bottom w:val="single" w:sz="6" w:color="D8E2EC"/>
            </w:tcBorders>
            <w:vAlign w:val="center"/>
          </w:tcPr>
          <w:p>
            <w:pPr>
              <w:spacing w:after="0"/>
              <w:jc w:val="left"/>
            </w:pPr>
            <w:r>
              <w:rPr>
                <w:rFonts w:ascii="Arial" w:hAnsi="Arial"/>
                <w:color w:val="334155"/>
                <w:sz w:val="18"/>
              </w:rPr>
              <w:t>Primary public payer policy source for medical-benefit drug criteria and version dates.</w:t>
            </w:r>
          </w:p>
        </w:tc>
        <w:tc>
          <w:tcPr>
            <w:tcW w:type="dxa" w:w="1584"/>
            <w:tcBorders>
              <w:start w:val="single" w:sz="6" w:color="D8E2EC"/>
              <w:top w:val="single" w:sz="6" w:color="D8E2EC"/>
              <w:end w:val="single" w:sz="6" w:color="D8E2EC"/>
              <w:bottom w:val="single" w:sz="6" w:color="D8E2EC"/>
            </w:tcBorders>
            <w:vAlign w:val="center"/>
            <w:shd w:fill="ECFDF5"/>
          </w:tcPr>
          <w:p>
            <w:pPr>
              <w:spacing w:after="0"/>
              <w:jc w:val="center"/>
            </w:pPr>
            <w:r>
              <w:rPr>
                <w:rFonts w:ascii="Arial" w:hAnsi="Arial"/>
                <w:b/>
                <w:color w:val="065F46"/>
                <w:sz w:val="18"/>
              </w:rPr>
              <w:t>Must</w:t>
            </w:r>
          </w:p>
        </w:tc>
      </w:tr>
      <w:tr>
        <w:tc>
          <w:tcPr>
            <w:tcW w:type="dxa" w:w="3168"/>
            <w:tcBorders>
              <w:start w:val="single" w:sz="6" w:color="D8E2EC"/>
              <w:top w:val="single" w:sz="6" w:color="D8E2EC"/>
              <w:end w:val="single" w:sz="6" w:color="D8E2EC"/>
              <w:bottom w:val="single" w:sz="6" w:color="D8E2EC"/>
            </w:tcBorders>
            <w:vAlign w:val="center"/>
          </w:tcPr>
          <w:p>
            <w:pPr>
              <w:spacing w:after="0"/>
              <w:jc w:val="left"/>
            </w:pPr>
            <w:r>
              <w:rPr>
                <w:rFonts w:ascii="Arial" w:hAnsi="Arial"/>
                <w:color w:val="334155"/>
                <w:sz w:val="18"/>
              </w:rPr>
              <w:t>UnitedHealthcare provider drug policy pages</w:t>
            </w:r>
          </w:p>
        </w:tc>
        <w:tc>
          <w:tcPr>
            <w:tcW w:type="dxa" w:w="5184"/>
            <w:tcBorders>
              <w:start w:val="single" w:sz="6" w:color="D8E2EC"/>
              <w:top w:val="single" w:sz="6" w:color="D8E2EC"/>
              <w:end w:val="single" w:sz="6" w:color="D8E2EC"/>
              <w:bottom w:val="single" w:sz="6" w:color="D8E2EC"/>
            </w:tcBorders>
            <w:vAlign w:val="center"/>
          </w:tcPr>
          <w:p>
            <w:pPr>
              <w:spacing w:after="0"/>
              <w:jc w:val="left"/>
            </w:pPr>
            <w:r>
              <w:rPr>
                <w:rFonts w:ascii="Arial" w:hAnsi="Arial"/>
                <w:color w:val="334155"/>
                <w:sz w:val="18"/>
              </w:rPr>
              <w:t>Public comparison source for specialty injectable / medical benefit rules.</w:t>
            </w:r>
          </w:p>
        </w:tc>
        <w:tc>
          <w:tcPr>
            <w:tcW w:type="dxa" w:w="1584"/>
            <w:tcBorders>
              <w:start w:val="single" w:sz="6" w:color="D8E2EC"/>
              <w:top w:val="single" w:sz="6" w:color="D8E2EC"/>
              <w:end w:val="single" w:sz="6" w:color="D8E2EC"/>
              <w:bottom w:val="single" w:sz="6" w:color="D8E2EC"/>
            </w:tcBorders>
            <w:vAlign w:val="center"/>
            <w:shd w:fill="ECFDF5"/>
          </w:tcPr>
          <w:p>
            <w:pPr>
              <w:spacing w:after="0"/>
              <w:jc w:val="center"/>
            </w:pPr>
            <w:r>
              <w:rPr>
                <w:rFonts w:ascii="Arial" w:hAnsi="Arial"/>
                <w:b/>
                <w:color w:val="065F46"/>
                <w:sz w:val="18"/>
              </w:rPr>
              <w:t>Must</w:t>
            </w:r>
          </w:p>
        </w:tc>
      </w:tr>
      <w:tr>
        <w:tc>
          <w:tcPr>
            <w:tcW w:type="dxa" w:w="3168"/>
            <w:tcBorders>
              <w:start w:val="single" w:sz="6" w:color="D8E2EC"/>
              <w:top w:val="single" w:sz="6" w:color="D8E2EC"/>
              <w:end w:val="single" w:sz="6" w:color="D8E2EC"/>
              <w:bottom w:val="single" w:sz="6" w:color="D8E2EC"/>
            </w:tcBorders>
            <w:vAlign w:val="center"/>
          </w:tcPr>
          <w:p>
            <w:pPr>
              <w:spacing w:after="0"/>
              <w:jc w:val="left"/>
            </w:pPr>
            <w:r>
              <w:rPr>
                <w:rFonts w:ascii="Arial" w:hAnsi="Arial"/>
                <w:color w:val="334155"/>
                <w:sz w:val="18"/>
              </w:rPr>
              <w:t>Blue Shield of California policy list</w:t>
            </w:r>
          </w:p>
        </w:tc>
        <w:tc>
          <w:tcPr>
            <w:tcW w:type="dxa" w:w="5184"/>
            <w:tcBorders>
              <w:start w:val="single" w:sz="6" w:color="D8E2EC"/>
              <w:top w:val="single" w:sz="6" w:color="D8E2EC"/>
              <w:end w:val="single" w:sz="6" w:color="D8E2EC"/>
              <w:bottom w:val="single" w:sz="6" w:color="D8E2EC"/>
            </w:tcBorders>
            <w:vAlign w:val="center"/>
          </w:tcPr>
          <w:p>
            <w:pPr>
              <w:spacing w:after="0"/>
              <w:jc w:val="left"/>
            </w:pPr>
            <w:r>
              <w:rPr>
                <w:rFonts w:ascii="Arial" w:hAnsi="Arial"/>
                <w:color w:val="334155"/>
                <w:sz w:val="18"/>
              </w:rPr>
              <w:t>Strong public payer source with medication policy detail.</w:t>
            </w:r>
          </w:p>
        </w:tc>
        <w:tc>
          <w:tcPr>
            <w:tcW w:type="dxa" w:w="1584"/>
            <w:tcBorders>
              <w:start w:val="single" w:sz="6" w:color="D8E2EC"/>
              <w:top w:val="single" w:sz="6" w:color="D8E2EC"/>
              <w:end w:val="single" w:sz="6" w:color="D8E2EC"/>
              <w:bottom w:val="single" w:sz="6" w:color="D8E2EC"/>
            </w:tcBorders>
            <w:vAlign w:val="center"/>
            <w:shd w:fill="ECFDF5"/>
          </w:tcPr>
          <w:p>
            <w:pPr>
              <w:spacing w:after="0"/>
              <w:jc w:val="center"/>
            </w:pPr>
            <w:r>
              <w:rPr>
                <w:rFonts w:ascii="Arial" w:hAnsi="Arial"/>
                <w:b/>
                <w:color w:val="065F46"/>
                <w:sz w:val="18"/>
              </w:rPr>
              <w:t>Must</w:t>
            </w:r>
          </w:p>
        </w:tc>
      </w:tr>
      <w:tr>
        <w:tc>
          <w:tcPr>
            <w:tcW w:type="dxa" w:w="3168"/>
            <w:tcBorders>
              <w:start w:val="single" w:sz="6" w:color="D8E2EC"/>
              <w:top w:val="single" w:sz="6" w:color="D8E2EC"/>
              <w:end w:val="single" w:sz="6" w:color="D8E2EC"/>
              <w:bottom w:val="single" w:sz="6" w:color="D8E2EC"/>
            </w:tcBorders>
            <w:vAlign w:val="center"/>
          </w:tcPr>
          <w:p>
            <w:pPr>
              <w:spacing w:after="0"/>
              <w:jc w:val="left"/>
            </w:pPr>
            <w:r>
              <w:rPr>
                <w:rFonts w:ascii="Arial" w:hAnsi="Arial"/>
                <w:color w:val="334155"/>
                <w:sz w:val="18"/>
              </w:rPr>
              <w:t>Anthem provider policy pages</w:t>
            </w:r>
          </w:p>
        </w:tc>
        <w:tc>
          <w:tcPr>
            <w:tcW w:type="dxa" w:w="5184"/>
            <w:tcBorders>
              <w:start w:val="single" w:sz="6" w:color="D8E2EC"/>
              <w:top w:val="single" w:sz="6" w:color="D8E2EC"/>
              <w:end w:val="single" w:sz="6" w:color="D8E2EC"/>
              <w:bottom w:val="single" w:sz="6" w:color="D8E2EC"/>
            </w:tcBorders>
            <w:vAlign w:val="center"/>
          </w:tcPr>
          <w:p>
            <w:pPr>
              <w:spacing w:after="0"/>
              <w:jc w:val="left"/>
            </w:pPr>
            <w:r>
              <w:rPr>
                <w:rFonts w:ascii="Arial" w:hAnsi="Arial"/>
                <w:color w:val="334155"/>
                <w:sz w:val="18"/>
              </w:rPr>
              <w:t>Additional public payer variation for comparison and drift.</w:t>
            </w:r>
          </w:p>
        </w:tc>
        <w:tc>
          <w:tcPr>
            <w:tcW w:type="dxa" w:w="1584"/>
            <w:tcBorders>
              <w:start w:val="single" w:sz="6" w:color="D8E2EC"/>
              <w:top w:val="single" w:sz="6" w:color="D8E2EC"/>
              <w:end w:val="single" w:sz="6" w:color="D8E2EC"/>
              <w:bottom w:val="single" w:sz="6" w:color="D8E2EC"/>
            </w:tcBorders>
            <w:vAlign w:val="center"/>
            <w:shd w:fill="EFF6FF"/>
          </w:tcPr>
          <w:p>
            <w:pPr>
              <w:spacing w:after="0"/>
              <w:jc w:val="center"/>
            </w:pPr>
            <w:r>
              <w:rPr>
                <w:rFonts w:ascii="Arial" w:hAnsi="Arial"/>
                <w:b/>
                <w:color w:val="1D4ED8"/>
                <w:sz w:val="18"/>
              </w:rPr>
              <w:t>Should</w:t>
            </w:r>
          </w:p>
        </w:tc>
      </w:tr>
      <w:tr>
        <w:tc>
          <w:tcPr>
            <w:tcW w:type="dxa" w:w="3168"/>
            <w:tcBorders>
              <w:start w:val="single" w:sz="6" w:color="D8E2EC"/>
              <w:top w:val="single" w:sz="6" w:color="D8E2EC"/>
              <w:end w:val="single" w:sz="6" w:color="D8E2EC"/>
              <w:bottom w:val="single" w:sz="6" w:color="D8E2EC"/>
            </w:tcBorders>
            <w:vAlign w:val="center"/>
          </w:tcPr>
          <w:p>
            <w:pPr>
              <w:spacing w:after="0"/>
              <w:jc w:val="left"/>
            </w:pPr>
            <w:r>
              <w:rPr>
                <w:rFonts w:ascii="Arial" w:hAnsi="Arial"/>
                <w:color w:val="334155"/>
                <w:sz w:val="18"/>
              </w:rPr>
              <w:t>Cigna coverage / precertification pages</w:t>
            </w:r>
          </w:p>
        </w:tc>
        <w:tc>
          <w:tcPr>
            <w:tcW w:type="dxa" w:w="5184"/>
            <w:tcBorders>
              <w:start w:val="single" w:sz="6" w:color="D8E2EC"/>
              <w:top w:val="single" w:sz="6" w:color="D8E2EC"/>
              <w:end w:val="single" w:sz="6" w:color="D8E2EC"/>
              <w:bottom w:val="single" w:sz="6" w:color="D8E2EC"/>
            </w:tcBorders>
            <w:vAlign w:val="center"/>
          </w:tcPr>
          <w:p>
            <w:pPr>
              <w:spacing w:after="0"/>
              <w:jc w:val="left"/>
            </w:pPr>
            <w:r>
              <w:rPr>
                <w:rFonts w:ascii="Arial" w:hAnsi="Arial"/>
                <w:color w:val="334155"/>
                <w:sz w:val="18"/>
              </w:rPr>
              <w:t>Secondary payer source if document mix needs more variety.</w:t>
            </w:r>
          </w:p>
        </w:tc>
        <w:tc>
          <w:tcPr>
            <w:tcW w:type="dxa" w:w="1584"/>
            <w:tcBorders>
              <w:start w:val="single" w:sz="6" w:color="D8E2EC"/>
              <w:top w:val="single" w:sz="6" w:color="D8E2EC"/>
              <w:end w:val="single" w:sz="6" w:color="D8E2EC"/>
              <w:bottom w:val="single" w:sz="6" w:color="D8E2EC"/>
            </w:tcBorders>
            <w:vAlign w:val="center"/>
            <w:shd w:fill="EFF6FF"/>
          </w:tcPr>
          <w:p>
            <w:pPr>
              <w:spacing w:after="0"/>
              <w:jc w:val="center"/>
            </w:pPr>
            <w:r>
              <w:rPr>
                <w:rFonts w:ascii="Arial" w:hAnsi="Arial"/>
                <w:b/>
                <w:color w:val="1D4ED8"/>
                <w:sz w:val="18"/>
              </w:rPr>
              <w:t>Should</w:t>
            </w:r>
          </w:p>
        </w:tc>
      </w:tr>
      <w:tr>
        <w:tc>
          <w:tcPr>
            <w:tcW w:type="dxa" w:w="3168"/>
            <w:tcBorders>
              <w:start w:val="single" w:sz="6" w:color="D8E2EC"/>
              <w:top w:val="single" w:sz="6" w:color="D8E2EC"/>
              <w:end w:val="single" w:sz="6" w:color="D8E2EC"/>
              <w:bottom w:val="single" w:sz="6" w:color="D8E2EC"/>
            </w:tcBorders>
            <w:vAlign w:val="center"/>
          </w:tcPr>
          <w:p>
            <w:pPr>
              <w:spacing w:after="0"/>
              <w:jc w:val="left"/>
            </w:pPr>
            <w:r>
              <w:rPr>
                <w:rFonts w:ascii="Arial" w:hAnsi="Arial"/>
                <w:color w:val="334155"/>
                <w:sz w:val="18"/>
              </w:rPr>
              <w:t>RxNorm</w:t>
            </w:r>
          </w:p>
        </w:tc>
        <w:tc>
          <w:tcPr>
            <w:tcW w:type="dxa" w:w="5184"/>
            <w:tcBorders>
              <w:start w:val="single" w:sz="6" w:color="D8E2EC"/>
              <w:top w:val="single" w:sz="6" w:color="D8E2EC"/>
              <w:end w:val="single" w:sz="6" w:color="D8E2EC"/>
              <w:bottom w:val="single" w:sz="6" w:color="D8E2EC"/>
            </w:tcBorders>
            <w:vAlign w:val="center"/>
          </w:tcPr>
          <w:p>
            <w:pPr>
              <w:spacing w:after="0"/>
              <w:jc w:val="left"/>
            </w:pPr>
            <w:r>
              <w:rPr>
                <w:rFonts w:ascii="Arial" w:hAnsi="Arial"/>
                <w:color w:val="334155"/>
                <w:sz w:val="18"/>
              </w:rPr>
              <w:t>Canonical drug name and synonym normalization.</w:t>
            </w:r>
          </w:p>
        </w:tc>
        <w:tc>
          <w:tcPr>
            <w:tcW w:type="dxa" w:w="1584"/>
            <w:tcBorders>
              <w:start w:val="single" w:sz="6" w:color="D8E2EC"/>
              <w:top w:val="single" w:sz="6" w:color="D8E2EC"/>
              <w:end w:val="single" w:sz="6" w:color="D8E2EC"/>
              <w:bottom w:val="single" w:sz="6" w:color="D8E2EC"/>
            </w:tcBorders>
            <w:vAlign w:val="center"/>
            <w:shd w:fill="ECFDF5"/>
          </w:tcPr>
          <w:p>
            <w:pPr>
              <w:spacing w:after="0"/>
              <w:jc w:val="center"/>
            </w:pPr>
            <w:r>
              <w:rPr>
                <w:rFonts w:ascii="Arial" w:hAnsi="Arial"/>
                <w:b/>
                <w:color w:val="065F46"/>
                <w:sz w:val="18"/>
              </w:rPr>
              <w:t>Must</w:t>
            </w:r>
          </w:p>
        </w:tc>
      </w:tr>
      <w:tr>
        <w:tc>
          <w:tcPr>
            <w:tcW w:type="dxa" w:w="3168"/>
            <w:tcBorders>
              <w:start w:val="single" w:sz="6" w:color="D8E2EC"/>
              <w:top w:val="single" w:sz="6" w:color="D8E2EC"/>
              <w:end w:val="single" w:sz="6" w:color="D8E2EC"/>
              <w:bottom w:val="single" w:sz="6" w:color="D8E2EC"/>
            </w:tcBorders>
            <w:vAlign w:val="center"/>
          </w:tcPr>
          <w:p>
            <w:pPr>
              <w:spacing w:after="0"/>
              <w:jc w:val="left"/>
            </w:pPr>
            <w:r>
              <w:rPr>
                <w:rFonts w:ascii="Arial" w:hAnsi="Arial"/>
                <w:color w:val="334155"/>
                <w:sz w:val="18"/>
              </w:rPr>
              <w:t>FDA Purple Book</w:t>
            </w:r>
          </w:p>
        </w:tc>
        <w:tc>
          <w:tcPr>
            <w:tcW w:type="dxa" w:w="5184"/>
            <w:tcBorders>
              <w:start w:val="single" w:sz="6" w:color="D8E2EC"/>
              <w:top w:val="single" w:sz="6" w:color="D8E2EC"/>
              <w:end w:val="single" w:sz="6" w:color="D8E2EC"/>
              <w:bottom w:val="single" w:sz="6" w:color="D8E2EC"/>
            </w:tcBorders>
            <w:vAlign w:val="center"/>
          </w:tcPr>
          <w:p>
            <w:pPr>
              <w:spacing w:after="0"/>
              <w:jc w:val="left"/>
            </w:pPr>
            <w:r>
              <w:rPr>
                <w:rFonts w:ascii="Arial" w:hAnsi="Arial"/>
                <w:color w:val="334155"/>
                <w:sz w:val="18"/>
              </w:rPr>
              <w:t>Reference product and biosimilar relationships.</w:t>
            </w:r>
          </w:p>
        </w:tc>
        <w:tc>
          <w:tcPr>
            <w:tcW w:type="dxa" w:w="1584"/>
            <w:tcBorders>
              <w:start w:val="single" w:sz="6" w:color="D8E2EC"/>
              <w:top w:val="single" w:sz="6" w:color="D8E2EC"/>
              <w:end w:val="single" w:sz="6" w:color="D8E2EC"/>
              <w:bottom w:val="single" w:sz="6" w:color="D8E2EC"/>
            </w:tcBorders>
            <w:vAlign w:val="center"/>
            <w:shd w:fill="ECFDF5"/>
          </w:tcPr>
          <w:p>
            <w:pPr>
              <w:spacing w:after="0"/>
              <w:jc w:val="center"/>
            </w:pPr>
            <w:r>
              <w:rPr>
                <w:rFonts w:ascii="Arial" w:hAnsi="Arial"/>
                <w:b/>
                <w:color w:val="065F46"/>
                <w:sz w:val="18"/>
              </w:rPr>
              <w:t>Must</w:t>
            </w:r>
          </w:p>
        </w:tc>
      </w:tr>
      <w:tr>
        <w:tc>
          <w:tcPr>
            <w:tcW w:type="dxa" w:w="3168"/>
            <w:tcBorders>
              <w:start w:val="single" w:sz="6" w:color="D8E2EC"/>
              <w:top w:val="single" w:sz="6" w:color="D8E2EC"/>
              <w:end w:val="single" w:sz="6" w:color="D8E2EC"/>
              <w:bottom w:val="single" w:sz="6" w:color="D8E2EC"/>
            </w:tcBorders>
            <w:vAlign w:val="center"/>
          </w:tcPr>
          <w:p>
            <w:pPr>
              <w:spacing w:after="0"/>
              <w:jc w:val="left"/>
            </w:pPr>
            <w:r>
              <w:rPr>
                <w:rFonts w:ascii="Arial" w:hAnsi="Arial"/>
                <w:color w:val="334155"/>
                <w:sz w:val="18"/>
              </w:rPr>
              <w:t>CMS HCPCS / J-code files</w:t>
            </w:r>
          </w:p>
        </w:tc>
        <w:tc>
          <w:tcPr>
            <w:tcW w:type="dxa" w:w="5184"/>
            <w:tcBorders>
              <w:start w:val="single" w:sz="6" w:color="D8E2EC"/>
              <w:top w:val="single" w:sz="6" w:color="D8E2EC"/>
              <w:end w:val="single" w:sz="6" w:color="D8E2EC"/>
              <w:bottom w:val="single" w:sz="6" w:color="D8E2EC"/>
            </w:tcBorders>
            <w:vAlign w:val="center"/>
          </w:tcPr>
          <w:p>
            <w:pPr>
              <w:spacing w:after="0"/>
              <w:jc w:val="left"/>
            </w:pPr>
            <w:r>
              <w:rPr>
                <w:rFonts w:ascii="Arial" w:hAnsi="Arial"/>
                <w:color w:val="334155"/>
                <w:sz w:val="18"/>
              </w:rPr>
              <w:t>Billing-code context and code normalization where available.</w:t>
            </w:r>
          </w:p>
        </w:tc>
        <w:tc>
          <w:tcPr>
            <w:tcW w:type="dxa" w:w="1584"/>
            <w:tcBorders>
              <w:start w:val="single" w:sz="6" w:color="D8E2EC"/>
              <w:top w:val="single" w:sz="6" w:color="D8E2EC"/>
              <w:end w:val="single" w:sz="6" w:color="D8E2EC"/>
              <w:bottom w:val="single" w:sz="6" w:color="D8E2EC"/>
            </w:tcBorders>
            <w:vAlign w:val="center"/>
            <w:shd w:fill="ECFDF5"/>
          </w:tcPr>
          <w:p>
            <w:pPr>
              <w:spacing w:after="0"/>
              <w:jc w:val="center"/>
            </w:pPr>
            <w:r>
              <w:rPr>
                <w:rFonts w:ascii="Arial" w:hAnsi="Arial"/>
                <w:b/>
                <w:color w:val="065F46"/>
                <w:sz w:val="18"/>
              </w:rPr>
              <w:t>Must</w:t>
            </w:r>
          </w:p>
        </w:tc>
      </w:tr>
      <w:tr>
        <w:tc>
          <w:tcPr>
            <w:tcW w:type="dxa" w:w="3168"/>
            <w:tcBorders>
              <w:start w:val="single" w:sz="6" w:color="D8E2EC"/>
              <w:top w:val="single" w:sz="6" w:color="D8E2EC"/>
              <w:end w:val="single" w:sz="6" w:color="D8E2EC"/>
              <w:bottom w:val="single" w:sz="6" w:color="D8E2EC"/>
            </w:tcBorders>
            <w:vAlign w:val="center"/>
          </w:tcPr>
          <w:p>
            <w:pPr>
              <w:spacing w:after="0"/>
              <w:jc w:val="left"/>
            </w:pPr>
            <w:r>
              <w:rPr>
                <w:rFonts w:ascii="Arial" w:hAnsi="Arial"/>
                <w:color w:val="334155"/>
                <w:sz w:val="18"/>
              </w:rPr>
              <w:t>Synthea synthetic records</w:t>
            </w:r>
          </w:p>
        </w:tc>
        <w:tc>
          <w:tcPr>
            <w:tcW w:type="dxa" w:w="5184"/>
            <w:tcBorders>
              <w:start w:val="single" w:sz="6" w:color="D8E2EC"/>
              <w:top w:val="single" w:sz="6" w:color="D8E2EC"/>
              <w:end w:val="single" w:sz="6" w:color="D8E2EC"/>
              <w:bottom w:val="single" w:sz="6" w:color="D8E2EC"/>
            </w:tcBorders>
            <w:vAlign w:val="center"/>
          </w:tcPr>
          <w:p>
            <w:pPr>
              <w:spacing w:after="0"/>
              <w:jc w:val="left"/>
            </w:pPr>
            <w:r>
              <w:rPr>
                <w:rFonts w:ascii="Arial" w:hAnsi="Arial"/>
                <w:color w:val="334155"/>
                <w:sz w:val="18"/>
              </w:rPr>
              <w:t>Synthetic patient-like cases for the simulator and demo.</w:t>
            </w:r>
          </w:p>
        </w:tc>
        <w:tc>
          <w:tcPr>
            <w:tcW w:type="dxa" w:w="1584"/>
            <w:tcBorders>
              <w:start w:val="single" w:sz="6" w:color="D8E2EC"/>
              <w:top w:val="single" w:sz="6" w:color="D8E2EC"/>
              <w:end w:val="single" w:sz="6" w:color="D8E2EC"/>
              <w:bottom w:val="single" w:sz="6" w:color="D8E2EC"/>
            </w:tcBorders>
            <w:vAlign w:val="center"/>
            <w:shd w:fill="ECFDF5"/>
          </w:tcPr>
          <w:p>
            <w:pPr>
              <w:spacing w:after="0"/>
              <w:jc w:val="center"/>
            </w:pPr>
            <w:r>
              <w:rPr>
                <w:rFonts w:ascii="Arial" w:hAnsi="Arial"/>
                <w:b/>
                <w:color w:val="065F46"/>
                <w:sz w:val="18"/>
              </w:rPr>
              <w:t>Must</w:t>
            </w:r>
          </w:p>
        </w:tc>
      </w:tr>
    </w:tbl>
    <w:p>
      <w:pPr>
        <w:spacing w:after="60" w:before="0"/>
      </w:pPr>
    </w:p>
    <w:tbl>
      <w:tblPr>
        <w:tblW w:type="auto" w:w="0"/>
        <w:jc w:val="center"/>
        <w:tblLayout w:type="fixed"/>
        <w:tblLook w:firstColumn="1" w:firstRow="1" w:lastColumn="0" w:lastRow="0" w:noHBand="0" w:noVBand="1" w:val="04A0"/>
        <w:tblCellMar>
          <w:top w:w="95" w:type="dxa"/>
          <w:start w:w="110" w:type="dxa"/>
          <w:bottom w:w="95" w:type="dxa"/>
          <w:end w:w="110" w:type="dxa"/>
        </w:tblCellMar>
      </w:tblPr>
      <w:tblGrid>
        <w:gridCol w:w="4997"/>
        <w:gridCol w:w="4997"/>
      </w:tblGrid>
      <w:tr>
        <w:tc>
          <w:tcPr>
            <w:tcW w:type="dxa" w:w="4968"/>
            <w:shd w:fill="F8FAFC"/>
            <w:tcBorders>
              <w:start w:val="single" w:sz="8" w:color="D8E2EC"/>
              <w:top w:val="single" w:sz="8" w:color="D8E2EC"/>
              <w:end w:val="single" w:sz="8" w:color="D8E2EC"/>
              <w:bottom w:val="single" w:sz="8" w:color="D8E2EC"/>
            </w:tcBorders>
          </w:tcPr>
          <w:p>
            <w:r>
              <w:rPr>
                <w:rFonts w:ascii="Arial" w:hAnsi="Arial"/>
                <w:b/>
                <w:color w:val="0F172A"/>
                <w:sz w:val="20"/>
              </w:rPr>
              <w:t>Initial drug family list</w:t>
            </w:r>
          </w:p>
          <w:p>
            <w:pPr>
              <w:pStyle w:val="ListBullet"/>
              <w:spacing w:before="0" w:after="30" w:line="240" w:lineRule="auto"/>
            </w:pPr>
            <w:r>
              <w:rPr>
                <w:rFonts w:ascii="Arial" w:hAnsi="Arial"/>
                <w:color w:val="334155"/>
                <w:sz w:val="18"/>
              </w:rPr>
              <w:t>Must: infliximab family (Remicade, Inflectra, Renflexis, Avsola).</w:t>
            </w:r>
          </w:p>
          <w:p>
            <w:pPr>
              <w:pStyle w:val="ListBullet"/>
              <w:spacing w:before="0" w:after="30" w:line="240" w:lineRule="auto"/>
            </w:pPr>
            <w:r>
              <w:rPr>
                <w:rFonts w:ascii="Arial" w:hAnsi="Arial"/>
                <w:color w:val="334155"/>
                <w:sz w:val="18"/>
              </w:rPr>
              <w:t>Must: rituximab family (Rituxan, Truxima, Ruxience, Riabni).</w:t>
            </w:r>
          </w:p>
          <w:p>
            <w:pPr>
              <w:pStyle w:val="ListBullet"/>
              <w:spacing w:before="0" w:after="30" w:line="240" w:lineRule="auto"/>
            </w:pPr>
            <w:r>
              <w:rPr>
                <w:rFonts w:ascii="Arial" w:hAnsi="Arial"/>
                <w:color w:val="334155"/>
                <w:sz w:val="18"/>
              </w:rPr>
              <w:t>Must: vedolizumab (Entyvio).</w:t>
            </w:r>
          </w:p>
          <w:p>
            <w:pPr>
              <w:pStyle w:val="ListBullet"/>
              <w:spacing w:before="0" w:after="30" w:line="240" w:lineRule="auto"/>
            </w:pPr>
            <w:r>
              <w:rPr>
                <w:rFonts w:ascii="Arial" w:hAnsi="Arial"/>
                <w:color w:val="334155"/>
                <w:sz w:val="18"/>
              </w:rPr>
              <w:t>Must: tocilizumab IV (Actemra).</w:t>
            </w:r>
          </w:p>
          <w:p>
            <w:pPr>
              <w:pStyle w:val="ListBullet"/>
              <w:spacing w:before="0" w:after="30" w:line="240" w:lineRule="auto"/>
            </w:pPr>
            <w:r>
              <w:rPr>
                <w:rFonts w:ascii="Arial" w:hAnsi="Arial"/>
                <w:color w:val="334155"/>
                <w:sz w:val="18"/>
              </w:rPr>
              <w:t>Must: ocrelizumab (Ocrevus).</w:t>
            </w:r>
          </w:p>
          <w:p>
            <w:pPr>
              <w:pStyle w:val="ListBullet"/>
              <w:spacing w:before="0" w:after="30" w:line="240" w:lineRule="auto"/>
            </w:pPr>
            <w:r>
              <w:rPr>
                <w:rFonts w:ascii="Arial" w:hAnsi="Arial"/>
                <w:color w:val="334155"/>
                <w:sz w:val="18"/>
              </w:rPr>
              <w:t>Stretch: abatacept IV (Orencia) and golimumab IV (Simponi Aria).</w:t>
            </w:r>
          </w:p>
        </w:tc>
        <w:tc>
          <w:tcPr>
            <w:tcW w:type="dxa" w:w="4968"/>
            <w:shd w:fill="F8FAFC"/>
            <w:tcBorders>
              <w:start w:val="single" w:sz="8" w:color="D8E2EC"/>
              <w:top w:val="single" w:sz="8" w:color="D8E2EC"/>
              <w:end w:val="single" w:sz="8" w:color="D8E2EC"/>
              <w:bottom w:val="single" w:sz="8" w:color="D8E2EC"/>
            </w:tcBorders>
          </w:tcPr>
          <w:p>
            <w:r>
              <w:rPr>
                <w:rFonts w:ascii="Arial" w:hAnsi="Arial"/>
                <w:b/>
                <w:color w:val="0F172A"/>
                <w:sz w:val="20"/>
              </w:rPr>
              <w:t>Stack + UI blueprint</w:t>
            </w:r>
          </w:p>
          <w:p>
            <w:pPr>
              <w:pStyle w:val="ListBullet"/>
              <w:spacing w:before="0" w:after="30" w:line="240" w:lineRule="auto"/>
            </w:pPr>
            <w:r>
              <w:rPr>
                <w:rFonts w:ascii="Arial" w:hAnsi="Arial"/>
                <w:color w:val="334155"/>
                <w:sz w:val="18"/>
              </w:rPr>
              <w:t>Frontend: Next.js, TypeScript, Tailwind, shadcn/ui, Framer Motion.</w:t>
            </w:r>
          </w:p>
          <w:p>
            <w:pPr>
              <w:pStyle w:val="ListBullet"/>
              <w:spacing w:before="0" w:after="30" w:line="240" w:lineRule="auto"/>
            </w:pPr>
            <w:r>
              <w:rPr>
                <w:rFonts w:ascii="Arial" w:hAnsi="Arial"/>
                <w:color w:val="334155"/>
                <w:sz w:val="18"/>
              </w:rPr>
              <w:t>Backend: FastAPI, Pydantic, Postgres, pgvector, object storage.</w:t>
            </w:r>
          </w:p>
          <w:p>
            <w:pPr>
              <w:pStyle w:val="ListBullet"/>
              <w:spacing w:before="0" w:after="30" w:line="240" w:lineRule="auto"/>
            </w:pPr>
            <w:r>
              <w:rPr>
                <w:rFonts w:ascii="Arial" w:hAnsi="Arial"/>
                <w:color w:val="334155"/>
                <w:sz w:val="18"/>
              </w:rPr>
              <w:t>Parsing: PyMuPDF or pdfplumber, BeautifulSoup, Playwright as needed.</w:t>
            </w:r>
          </w:p>
          <w:p>
            <w:pPr>
              <w:pStyle w:val="ListBullet"/>
              <w:spacing w:before="0" w:after="30" w:line="240" w:lineRule="auto"/>
            </w:pPr>
            <w:r>
              <w:rPr>
                <w:rFonts w:ascii="Arial" w:hAnsi="Arial"/>
                <w:color w:val="334155"/>
                <w:sz w:val="18"/>
              </w:rPr>
              <w:t>Auth0 for roles and gated actions; ElevenLabs for one voice brief flow.</w:t>
            </w:r>
          </w:p>
          <w:p>
            <w:pPr>
              <w:pStyle w:val="ListBullet"/>
              <w:spacing w:before="0" w:after="30" w:line="240" w:lineRule="auto"/>
            </w:pPr>
            <w:r>
              <w:rPr>
                <w:rFonts w:ascii="Arial" w:hAnsi="Arial"/>
                <w:color w:val="334155"/>
                <w:sz w:val="18"/>
              </w:rPr>
              <w:t>Visual direction: deep navy, cyan, violet, clinical-trust styling with strong tables.</w:t>
            </w:r>
          </w:p>
          <w:p>
            <w:pPr>
              <w:pStyle w:val="ListBullet"/>
              <w:spacing w:before="0" w:after="30" w:line="240" w:lineRule="auto"/>
            </w:pPr>
            <w:r>
              <w:rPr>
                <w:rFonts w:ascii="Arial" w:hAnsi="Arial"/>
                <w:color w:val="334155"/>
                <w:sz w:val="18"/>
              </w:rPr>
              <w:t>Loading copy: Decomposing payer language... Resolving biosimilar relationships... Computing policy drift...</w:t>
            </w:r>
          </w:p>
        </w:tc>
      </w:tr>
    </w:tbl>
    <w:p>
      <w:pPr>
        <w:spacing w:after="80" w:before="0"/>
      </w:pPr>
    </w:p>
    <w:tbl>
      <w:tblPr>
        <w:tblW w:type="auto" w:w="0"/>
        <w:jc w:val="center"/>
        <w:tblLayout w:type="fixed"/>
        <w:tblLook w:firstColumn="1" w:firstRow="1" w:lastColumn="0" w:lastRow="0" w:noHBand="0" w:noVBand="1" w:val="04A0"/>
        <w:tblCellMar>
          <w:top w:w="90" w:type="dxa"/>
          <w:start w:w="120" w:type="dxa"/>
          <w:bottom w:w="90" w:type="dxa"/>
          <w:end w:w="120" w:type="dxa"/>
        </w:tblCellMar>
      </w:tblPr>
      <w:tblGrid>
        <w:gridCol w:w="9994"/>
      </w:tblGrid>
      <w:tr>
        <w:tc>
          <w:tcPr>
            <w:tcW w:type="dxa" w:w="9936"/>
            <w:shd w:fill="EEF6FF"/>
            <w:tcBorders>
              <w:start w:val="single" w:sz="8" w:color="CFE0F5"/>
              <w:top w:val="single" w:sz="8" w:color="CFE0F5"/>
              <w:end w:val="single" w:sz="8" w:color="CFE0F5"/>
              <w:bottom w:val="single" w:sz="8" w:color="CFE0F5"/>
            </w:tcBorders>
            <w:vAlign w:val="center"/>
          </w:tcPr>
          <w:p>
            <w:pPr>
              <w:spacing w:after="40"/>
            </w:pPr>
            <w:r>
              <w:rPr>
                <w:rFonts w:ascii="Arial" w:hAnsi="Arial"/>
                <w:b/>
                <w:color w:val="0F172A"/>
                <w:sz w:val="21"/>
              </w:rPr>
              <w:t>Final guidance</w:t>
            </w:r>
          </w:p>
          <w:p>
            <w:pPr>
              <w:spacing w:before="0" w:after="0" w:line="259" w:lineRule="auto"/>
            </w:pPr>
            <w:r>
              <w:rPr>
                <w:rFonts w:ascii="Arial" w:hAnsi="Arial"/>
                <w:color w:val="334155"/>
                <w:sz w:val="20"/>
              </w:rPr>
              <w:t>Win by being narrow, explainable, and stable. A working matrix + simulator + change story is better than a giant unfinished feature list. Keep citations visible, use sponsor tools with purpose, and protect the last hours for polish.</w:t>
            </w:r>
          </w:p>
        </w:tc>
      </w:tr>
    </w:tbl>
    <w:sectPr>
      <w:headerReference w:type="default" r:id="rId9"/>
      <w:footerReference w:type="default" r:id="rId10"/>
      <w:pgSz w:w="12240" w:h="15840"/>
      <w:pgMar w:top="1008" w:right="1123" w:bottom="864" w:left="1123"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68"/>
      <w:gridCol w:w="4968"/>
    </w:tblGrid>
    <w:tr>
      <w:tc>
        <w:tcPr>
          <w:tcW w:type="dxa" w:w="6480"/>
          <w:tcBorders>
            <w:start w:val="nil"/>
            <w:top w:val="single" w:sz="6" w:color="D8E2EC"/>
            <w:end w:val="nil"/>
            <w:bottom w:val="nil"/>
          </w:tcBorders>
        </w:tcPr>
        <w:p>
          <w:pPr>
            <w:jc w:val="left"/>
          </w:pPr>
          <w:r>
            <w:rPr>
              <w:rFonts w:ascii="Arial" w:hAnsi="Arial"/>
              <w:color w:val="64748B"/>
              <w:sz w:val="17"/>
            </w:rPr>
            <w:t>Innovation Hacks 2026  |  Anton RX Track</w:t>
          </w:r>
        </w:p>
      </w:tc>
      <w:tc>
        <w:tcPr>
          <w:tcW w:type="dxa" w:w="3456"/>
          <w:tcBorders>
            <w:start w:val="nil"/>
            <w:top w:val="single" w:sz="6" w:color="D8E2EC"/>
            <w:end w:val="nil"/>
            <w:bottom w:val="nil"/>
          </w:tcBorders>
        </w:tcPr>
        <w:p>
          <w:pPr>
            <w:jc w:val="right"/>
          </w:pPr>
          <w:r>
            <w:rPr>
              <w:rFonts w:ascii="Arial" w:hAnsi="Arial"/>
              <w:color w:val="64748B"/>
              <w:sz w:val="17"/>
            </w:rPr>
            <w:t>Public docs + synthetic cases only</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b/>
        <w:color w:val="0F172A"/>
        <w:sz w:val="18"/>
      </w:rPr>
      <w:t>Prism</w:t>
    </w:r>
    <w:r>
      <w:rPr>
        <w:rFonts w:ascii="Arial" w:hAnsi="Arial"/>
        <w:b/>
        <w:color w:val="06B6D4"/>
        <w:sz w:val="18"/>
      </w:rPr>
      <w:t>Rx</w:t>
    </w:r>
    <w:r>
      <w:rPr>
        <w:rFonts w:ascii="Arial" w:hAnsi="Arial"/>
        <w:color w:val="64748B"/>
        <w:sz w:val="18"/>
      </w:rPr>
      <w:t xml:space="preserve">  |  Hackathon Sprint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D4ED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F17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F17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