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b/>
          <w:bCs/>
          <w:color w:val="2BA39A"/>
          <w:spacing w:val="60"/>
          <w:sz w:val="30"/>
          <w:szCs w:val="30"/>
        </w:rPr>
        <w:t xml:space="preserve">KAIZEN AI</w:t>
      </w:r>
    </w:p>
    <w:p>
      <w:pPr>
        <w:pBdr>
          <w:bottom w:val="single" w:color="2E6BB8" w:sz="12" w:space="6"/>
        </w:pBdr>
        <w:spacing w:after="600"/>
      </w:pPr>
      <w:r>
        <w:rPr>
          <w:color w:val="5B6573"/>
          <w:sz w:val="20"/>
          <w:szCs w:val="20"/>
        </w:rPr>
        <w:t xml:space="preserve">Client Handover Pack</w:t>
      </w:r>
    </w:p>
    <w:p>
      <w:pPr>
        <w:spacing w:after="60" w:before="400"/>
      </w:pPr>
      <w:r>
        <w:rPr>
          <w:b/>
          <w:bCs/>
          <w:color w:val="1F2A44"/>
          <w:sz w:val="52"/>
          <w:szCs w:val="52"/>
        </w:rPr>
        <w:t xml:space="preserve">Developer Guide</w:t>
      </w:r>
    </w:p>
    <w:p>
      <w:pPr>
        <w:spacing w:after="700"/>
      </w:pPr>
      <w:r>
        <w:rPr>
          <w:color w:val="2E6BB8"/>
          <w:sz w:val="26"/>
          <w:szCs w:val="26"/>
        </w:rPr>
        <w:t xml:space="preserve">Technical Reference &amp; Handover for the Beyond Borders Platform</w:t>
      </w:r>
    </w:p>
    <w:p>
      <w:pPr>
        <w:spacing w:after="90"/>
      </w:pPr>
      <w:r>
        <w:rPr>
          <w:b/>
          <w:bCs/>
          <w:color w:val="1F2A44"/>
          <w:sz w:val="21"/>
          <w:szCs w:val="21"/>
        </w:rPr>
        <w:t xml:space="preserve">Document    </w:t>
      </w:r>
      <w:r>
        <w:rPr>
          <w:sz w:val="21"/>
          <w:szCs w:val="21"/>
        </w:rPr>
        <w:t xml:space="preserve">Developer Guide</w:t>
      </w:r>
    </w:p>
    <w:p>
      <w:pPr>
        <w:spacing w:after="90"/>
      </w:pPr>
      <w:r>
        <w:rPr>
          <w:b/>
          <w:bCs/>
          <w:color w:val="1F2A44"/>
          <w:sz w:val="21"/>
          <w:szCs w:val="21"/>
        </w:rPr>
        <w:t xml:space="preserve">Project    </w:t>
      </w:r>
      <w:r>
        <w:rPr>
          <w:sz w:val="21"/>
          <w:szCs w:val="21"/>
        </w:rPr>
        <w:t xml:space="preserve">Beyond Borders Website &amp; Admin Platform</w:t>
      </w:r>
    </w:p>
    <w:p>
      <w:pPr>
        <w:spacing w:after="90"/>
      </w:pPr>
      <w:r>
        <w:rPr>
          <w:b/>
          <w:bCs/>
          <w:color w:val="1F2A44"/>
          <w:sz w:val="21"/>
          <w:szCs w:val="21"/>
        </w:rPr>
        <w:t xml:space="preserve">Version    </w:t>
      </w:r>
      <w:r>
        <w:rPr>
          <w:i/>
          <w:iCs/>
          <w:color w:val="B8860B"/>
        </w:rPr>
        <w:t xml:space="preserve">v1.0  —  [release date]</w:t>
      </w:r>
    </w:p>
    <w:p>
      <w:pPr>
        <w:spacing w:after="90"/>
      </w:pPr>
      <w:r>
        <w:rPr>
          <w:b/>
          <w:bCs/>
          <w:color w:val="1F2A44"/>
          <w:sz w:val="21"/>
          <w:szCs w:val="21"/>
        </w:rPr>
        <w:t xml:space="preserve">Maintained by    </w:t>
      </w:r>
      <w:r>
        <w:rPr>
          <w:sz w:val="21"/>
          <w:szCs w:val="21"/>
        </w:rPr>
        <w:t xml:space="preserve">Kaizen AI</w:t>
      </w:r>
    </w:p>
    <w:p>
      <w:pPr>
        <w:spacing w:before="1400"/>
      </w:pPr>
      <w:r>
        <w:rPr>
          <w:i/>
          <w:iCs/>
          <w:color w:val="5B6573"/>
          <w:sz w:val="19"/>
          <w:szCs w:val="19"/>
        </w:rPr>
        <w:t xml:space="preserve">Prepared by Kaizen AI for Beyond Borders</w:t>
      </w:r>
    </w:p>
    <w:p>
      <w:r>
        <w:br w:type="page"/>
      </w:r>
    </w:p>
    <w:p>
      <w:pPr>
        <w:sectPr>
          <w:pgSz w:w="11906" w:h="16838" w:orient="portrait"/>
          <w:pgMar w:top="1440" w:right="1440" w:bottom="1440" w:left="1440" w:header="708" w:footer="708" w:gutter="0"/>
          <w:pgNumType/>
          <w:docGrid w:linePitch="360"/>
        </w:sectPr>
      </w:pPr>
    </w:p>
    <w:p>
      <w:pPr>
        <w:pStyle w:val="Heading1"/>
      </w:pPr>
      <w:r>
        <w:t xml:space="preserve">1.  Purpose &amp; Scope</w:t>
      </w:r>
    </w:p>
    <w:p>
      <w:pPr>
        <w:spacing w:after="120" w:line="264"/>
      </w:pPr>
      <w:r>
        <w:t xml:space="preserve">This guide documents the technical design of the Beyond Borders platform so that any qualified developer can understand, run, and extend it. Under the current arrangement, Kaizen AI hosts and maintains the live system; this document also serves as the technical reference handed to Beyond Borders for transparency and continuity.</w:t>
      </w:r>
    </w:p>
    <w:tbl>
      <w:tblPr>
        <w:tblW w:type="dxa" w:w="9026"/>
        <w:tblBorders>
          <w:top w:val="single" w:color="EEF3F9" w:sz="2"/>
          <w:left w:val="single" w:color="2E6BB8" w:sz="24"/>
          <w:bottom w:val="single" w:color="EEF3F9" w:sz="2"/>
          <w:right w:val="single" w:color="EEF3F9" w:sz="2"/>
          <w:insideH w:val="single" w:color="auto" w:sz="4"/>
          <w:insideV w:val="single" w:color="auto" w:sz="4"/>
        </w:tblBorders>
      </w:tblPr>
      <w:tblGrid>
        <w:gridCol w:w="9026"/>
      </w:tblGrid>
      <w:tr>
        <w:tc>
          <w:tcPr>
            <w:tcW w:type="dxa" w:w="9026"/>
            <w:shd w:fill="EEF3F9" w:val="clear"/>
            <w:tcMar>
              <w:top w:type="dxa" w:w="130"/>
              <w:left w:type="dxa" w:w="200"/>
              <w:bottom w:type="dxa" w:w="130"/>
              <w:right w:type="dxa" w:w="160"/>
            </w:tcMar>
          </w:tcPr>
          <w:p>
            <w:pPr>
              <w:spacing w:after="80"/>
            </w:pPr>
            <w:r>
              <w:rPr>
                <w:b/>
                <w:bCs/>
                <w:color w:val="1F2A44"/>
              </w:rPr>
              <w:t xml:space="preserve">Ownership at a glance</w:t>
            </w:r>
          </w:p>
          <w:p>
            <w:pPr>
              <w:spacing w:after="70" w:line="258"/>
            </w:pPr>
            <w:r>
              <w:t xml:space="preserve">The source code, hosting (Vercel), and database (Supabase) are managed by Kaizen AI on behalf of Beyond Borders under the maintenance agreement.</w:t>
            </w:r>
          </w:p>
          <w:p>
            <w:pPr>
              <w:spacing w:after="70" w:line="258"/>
            </w:pPr>
            <w:r>
              <w:t xml:space="preserve">The domain and the payment gateway (IPG) merchant account are owned directly by Beyond Borders.</w:t>
            </w:r>
          </w:p>
          <w:p>
            <w:pPr>
              <w:spacing w:after="0" w:line="258"/>
            </w:pPr>
            <w:r>
              <w:t xml:space="preserve">Full details are in the separate Ownership, Credentials &amp; Maintenance document.</w:t>
            </w:r>
          </w:p>
        </w:tc>
      </w:tr>
    </w:tbl>
    <w:p>
      <w:pPr>
        <w:pStyle w:val="Heading1"/>
      </w:pPr>
      <w:r>
        <w:t xml:space="preserve">2.  Architecture</w:t>
      </w:r>
    </w:p>
    <w:p>
      <w:pPr>
        <w:spacing w:after="120" w:line="264"/>
      </w:pPr>
      <w:r>
        <w:t xml:space="preserve">The platform is a modern web application with a managed backend. At a high level, requests flow from the visitor’s browser through the hosting/CDN layer to the application, which reads and writes data in the managed database.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26"/>
        <w:gridCol w:w="2600"/>
      </w:tblGrid>
      <w:tr>
        <w:trPr>
          <w:tblHeader/>
        </w:trPr>
        <w:tc>
          <w:tcPr>
            <w:tcW w:type="dxa" w:w="2200"/>
            <w:tcBorders>
              <w:top w:val="single" w:color="C9D6E3" w:sz="1"/>
              <w:left w:val="single" w:color="C9D6E3" w:sz="1"/>
              <w:bottom w:val="single" w:color="C9D6E3" w:sz="1"/>
              <w:right w:val="single" w:color="C9D6E3" w:sz="1"/>
            </w:tcBorders>
            <w:shd w:fill="1F2A44" w:val="clear"/>
            <w:tcMar>
              <w:top w:type="dxa" w:w="90"/>
              <w:left w:type="dxa" w:w="130"/>
              <w:bottom w:type="dxa" w:w="90"/>
              <w:right w:type="dxa" w:w="130"/>
            </w:tcMar>
            <w:vAlign w:val="center"/>
          </w:tcPr>
          <w:p>
            <w:r>
              <w:rPr>
                <w:b/>
                <w:bCs/>
                <w:color w:val="FFFFFF"/>
                <w:sz w:val="20"/>
                <w:szCs w:val="20"/>
              </w:rPr>
              <w:t xml:space="preserve">Layer</w:t>
            </w:r>
          </w:p>
        </w:tc>
        <w:tc>
          <w:tcPr>
            <w:tcW w:type="dxa" w:w="4226"/>
            <w:tcBorders>
              <w:top w:val="single" w:color="C9D6E3" w:sz="1"/>
              <w:left w:val="single" w:color="C9D6E3" w:sz="1"/>
              <w:bottom w:val="single" w:color="C9D6E3" w:sz="1"/>
              <w:right w:val="single" w:color="C9D6E3" w:sz="1"/>
            </w:tcBorders>
            <w:shd w:fill="1F2A44" w:val="clear"/>
            <w:tcMar>
              <w:top w:type="dxa" w:w="90"/>
              <w:left w:type="dxa" w:w="130"/>
              <w:bottom w:type="dxa" w:w="90"/>
              <w:right w:type="dxa" w:w="130"/>
            </w:tcMar>
            <w:vAlign w:val="center"/>
          </w:tcPr>
          <w:p>
            <w:r>
              <w:rPr>
                <w:b/>
                <w:bCs/>
                <w:color w:val="FFFFFF"/>
                <w:sz w:val="20"/>
                <w:szCs w:val="20"/>
              </w:rPr>
              <w:t xml:space="preserve">Responsibility</w:t>
            </w:r>
          </w:p>
        </w:tc>
        <w:tc>
          <w:tcPr>
            <w:tcW w:type="dxa" w:w="2600"/>
            <w:tcBorders>
              <w:top w:val="single" w:color="C9D6E3" w:sz="1"/>
              <w:left w:val="single" w:color="C9D6E3" w:sz="1"/>
              <w:bottom w:val="single" w:color="C9D6E3" w:sz="1"/>
              <w:right w:val="single" w:color="C9D6E3" w:sz="1"/>
            </w:tcBorders>
            <w:shd w:fill="1F2A44" w:val="clear"/>
            <w:tcMar>
              <w:top w:type="dxa" w:w="90"/>
              <w:left w:type="dxa" w:w="130"/>
              <w:bottom w:type="dxa" w:w="90"/>
              <w:right w:type="dxa" w:w="130"/>
            </w:tcMar>
            <w:vAlign w:val="center"/>
          </w:tcPr>
          <w:p>
            <w:r>
              <w:rPr>
                <w:b/>
                <w:bCs/>
                <w:color w:val="FFFFFF"/>
                <w:sz w:val="20"/>
                <w:szCs w:val="20"/>
              </w:rPr>
              <w:t xml:space="preserve">Provider / Technology</w:t>
            </w:r>
          </w:p>
        </w:tc>
      </w:tr>
      <w:tr>
        <w:tc>
          <w:tcPr>
            <w:tcW w:type="dxa" w:w="2200"/>
            <w:tcBorders>
              <w:top w:val="single" w:color="C9D6E3" w:sz="1"/>
              <w:left w:val="single" w:color="C9D6E3" w:sz="1"/>
              <w:bottom w:val="single" w:color="C9D6E3" w:sz="1"/>
              <w:right w:val="single" w:color="C9D6E3" w:sz="1"/>
            </w:tcBorders>
            <w:shd w:fill="FFFFFF" w:val="clear"/>
            <w:tcMar>
              <w:top w:type="dxa" w:w="80"/>
              <w:left w:type="dxa" w:w="130"/>
              <w:bottom w:type="dxa" w:w="80"/>
              <w:right w:type="dxa" w:w="130"/>
            </w:tcMar>
            <w:vAlign w:val="center"/>
          </w:tcPr>
          <w:p>
            <w:pPr>
              <w:spacing w:after="0" w:line="252"/>
            </w:pPr>
            <w:r>
              <w:rPr>
                <w:sz w:val="20"/>
                <w:szCs w:val="20"/>
              </w:rPr>
              <w:t xml:space="preserve">DNS &amp; CDN</w:t>
            </w:r>
          </w:p>
        </w:tc>
        <w:tc>
          <w:tcPr>
            <w:tcW w:type="dxa" w:w="4226"/>
            <w:tcBorders>
              <w:top w:val="single" w:color="C9D6E3" w:sz="1"/>
              <w:left w:val="single" w:color="C9D6E3" w:sz="1"/>
              <w:bottom w:val="single" w:color="C9D6E3" w:sz="1"/>
              <w:right w:val="single" w:color="C9D6E3" w:sz="1"/>
            </w:tcBorders>
            <w:shd w:fill="FFFFFF" w:val="clear"/>
            <w:tcMar>
              <w:top w:type="dxa" w:w="80"/>
              <w:left w:type="dxa" w:w="130"/>
              <w:bottom w:type="dxa" w:w="80"/>
              <w:right w:type="dxa" w:w="130"/>
            </w:tcMar>
            <w:vAlign w:val="center"/>
          </w:tcPr>
          <w:p>
            <w:pPr>
              <w:spacing w:after="0" w:line="252"/>
            </w:pPr>
            <w:r>
              <w:rPr>
                <w:sz w:val="20"/>
                <w:szCs w:val="20"/>
              </w:rPr>
              <w:t xml:space="preserve">Domain routing, caching, SSL, basic protection</w:t>
            </w:r>
          </w:p>
        </w:tc>
        <w:tc>
          <w:tcPr>
            <w:tcW w:type="dxa" w:w="2600"/>
            <w:tcBorders>
              <w:top w:val="single" w:color="C9D6E3" w:sz="1"/>
              <w:left w:val="single" w:color="C9D6E3" w:sz="1"/>
              <w:bottom w:val="single" w:color="C9D6E3" w:sz="1"/>
              <w:right w:val="single" w:color="C9D6E3" w:sz="1"/>
            </w:tcBorders>
            <w:shd w:fill="FFFFFF" w:val="clear"/>
            <w:tcMar>
              <w:top w:type="dxa" w:w="80"/>
              <w:left w:type="dxa" w:w="130"/>
              <w:bottom w:type="dxa" w:w="80"/>
              <w:right w:type="dxa" w:w="130"/>
            </w:tcMar>
            <w:vAlign w:val="center"/>
          </w:tcPr>
          <w:p>
            <w:pPr>
              <w:spacing w:after="0" w:line="252"/>
            </w:pPr>
            <w:r>
              <w:rPr>
                <w:i/>
                <w:iCs/>
                <w:color w:val="B8860B"/>
              </w:rPr>
              <w:t xml:space="preserve">[Cloudflare]</w:t>
            </w:r>
          </w:p>
        </w:tc>
      </w:tr>
      <w:tr>
        <w:tc>
          <w:tcPr>
            <w:tcW w:type="dxa" w:w="2200"/>
            <w:tcBorders>
              <w:top w:val="single" w:color="C9D6E3" w:sz="1"/>
              <w:left w:val="single" w:color="C9D6E3" w:sz="1"/>
              <w:bottom w:val="single" w:color="C9D6E3" w:sz="1"/>
              <w:right w:val="single" w:color="C9D6E3" w:sz="1"/>
            </w:tcBorders>
            <w:shd w:fill="F6F9FC" w:val="clear"/>
            <w:tcMar>
              <w:top w:type="dxa" w:w="80"/>
              <w:left w:type="dxa" w:w="130"/>
              <w:bottom w:type="dxa" w:w="80"/>
              <w:right w:type="dxa" w:w="130"/>
            </w:tcMar>
            <w:vAlign w:val="center"/>
          </w:tcPr>
          <w:p>
            <w:pPr>
              <w:spacing w:after="0" w:line="252"/>
            </w:pPr>
            <w:r>
              <w:rPr>
                <w:sz w:val="20"/>
                <w:szCs w:val="20"/>
              </w:rPr>
              <w:t xml:space="preserve">Hosting / App</w:t>
            </w:r>
          </w:p>
        </w:tc>
        <w:tc>
          <w:tcPr>
            <w:tcW w:type="dxa" w:w="4226"/>
            <w:tcBorders>
              <w:top w:val="single" w:color="C9D6E3" w:sz="1"/>
              <w:left w:val="single" w:color="C9D6E3" w:sz="1"/>
              <w:bottom w:val="single" w:color="C9D6E3" w:sz="1"/>
              <w:right w:val="single" w:color="C9D6E3" w:sz="1"/>
            </w:tcBorders>
            <w:shd w:fill="F6F9FC" w:val="clear"/>
            <w:tcMar>
              <w:top w:type="dxa" w:w="80"/>
              <w:left w:type="dxa" w:w="130"/>
              <w:bottom w:type="dxa" w:w="80"/>
              <w:right w:type="dxa" w:w="130"/>
            </w:tcMar>
            <w:vAlign w:val="center"/>
          </w:tcPr>
          <w:p>
            <w:pPr>
              <w:spacing w:after="0" w:line="252"/>
            </w:pPr>
            <w:r>
              <w:rPr>
                <w:sz w:val="20"/>
                <w:szCs w:val="20"/>
              </w:rPr>
              <w:t xml:space="preserve">Serves the website and admin app; runs server logic</w:t>
            </w:r>
          </w:p>
        </w:tc>
        <w:tc>
          <w:tcPr>
            <w:tcW w:type="dxa" w:w="2600"/>
            <w:tcBorders>
              <w:top w:val="single" w:color="C9D6E3" w:sz="1"/>
              <w:left w:val="single" w:color="C9D6E3" w:sz="1"/>
              <w:bottom w:val="single" w:color="C9D6E3" w:sz="1"/>
              <w:right w:val="single" w:color="C9D6E3" w:sz="1"/>
            </w:tcBorders>
            <w:shd w:fill="F6F9FC" w:val="clear"/>
            <w:tcMar>
              <w:top w:type="dxa" w:w="80"/>
              <w:left w:type="dxa" w:w="130"/>
              <w:bottom w:type="dxa" w:w="80"/>
              <w:right w:type="dxa" w:w="130"/>
            </w:tcMar>
            <w:vAlign w:val="center"/>
          </w:tcPr>
          <w:p>
            <w:pPr>
              <w:spacing w:after="0" w:line="252"/>
            </w:pPr>
            <w:r>
              <w:rPr>
                <w:i/>
                <w:iCs/>
                <w:color w:val="B8860B"/>
              </w:rPr>
              <w:t xml:space="preserve">[Vercel]</w:t>
            </w:r>
          </w:p>
        </w:tc>
      </w:tr>
      <w:tr>
        <w:tc>
          <w:tcPr>
            <w:tcW w:type="dxa" w:w="2200"/>
            <w:tcBorders>
              <w:top w:val="single" w:color="C9D6E3" w:sz="1"/>
              <w:left w:val="single" w:color="C9D6E3" w:sz="1"/>
              <w:bottom w:val="single" w:color="C9D6E3" w:sz="1"/>
              <w:right w:val="single" w:color="C9D6E3" w:sz="1"/>
            </w:tcBorders>
            <w:shd w:fill="FFFFFF" w:val="clear"/>
            <w:tcMar>
              <w:top w:type="dxa" w:w="80"/>
              <w:left w:type="dxa" w:w="130"/>
              <w:bottom w:type="dxa" w:w="80"/>
              <w:right w:type="dxa" w:w="130"/>
            </w:tcMar>
            <w:vAlign w:val="center"/>
          </w:tcPr>
          <w:p>
            <w:pPr>
              <w:spacing w:after="0" w:line="252"/>
            </w:pPr>
            <w:r>
              <w:rPr>
                <w:sz w:val="20"/>
                <w:szCs w:val="20"/>
              </w:rPr>
              <w:t xml:space="preserve">Database &amp; Auth</w:t>
            </w:r>
          </w:p>
        </w:tc>
        <w:tc>
          <w:tcPr>
            <w:tcW w:type="dxa" w:w="4226"/>
            <w:tcBorders>
              <w:top w:val="single" w:color="C9D6E3" w:sz="1"/>
              <w:left w:val="single" w:color="C9D6E3" w:sz="1"/>
              <w:bottom w:val="single" w:color="C9D6E3" w:sz="1"/>
              <w:right w:val="single" w:color="C9D6E3" w:sz="1"/>
            </w:tcBorders>
            <w:shd w:fill="FFFFFF" w:val="clear"/>
            <w:tcMar>
              <w:top w:type="dxa" w:w="80"/>
              <w:left w:type="dxa" w:w="130"/>
              <w:bottom w:type="dxa" w:w="80"/>
              <w:right w:type="dxa" w:w="130"/>
            </w:tcMar>
            <w:vAlign w:val="center"/>
          </w:tcPr>
          <w:p>
            <w:pPr>
              <w:spacing w:after="0" w:line="252"/>
            </w:pPr>
            <w:r>
              <w:rPr>
                <w:sz w:val="20"/>
                <w:szCs w:val="20"/>
              </w:rPr>
              <w:t xml:space="preserve">Stores packages, bookings, enquiries; user auth</w:t>
            </w:r>
          </w:p>
        </w:tc>
        <w:tc>
          <w:tcPr>
            <w:tcW w:type="dxa" w:w="2600"/>
            <w:tcBorders>
              <w:top w:val="single" w:color="C9D6E3" w:sz="1"/>
              <w:left w:val="single" w:color="C9D6E3" w:sz="1"/>
              <w:bottom w:val="single" w:color="C9D6E3" w:sz="1"/>
              <w:right w:val="single" w:color="C9D6E3" w:sz="1"/>
            </w:tcBorders>
            <w:shd w:fill="FFFFFF" w:val="clear"/>
            <w:tcMar>
              <w:top w:type="dxa" w:w="80"/>
              <w:left w:type="dxa" w:w="130"/>
              <w:bottom w:type="dxa" w:w="80"/>
              <w:right w:type="dxa" w:w="130"/>
            </w:tcMar>
            <w:vAlign w:val="center"/>
          </w:tcPr>
          <w:p>
            <w:pPr>
              <w:spacing w:after="0" w:line="252"/>
            </w:pPr>
            <w:r>
              <w:rPr>
                <w:i/>
                <w:iCs/>
                <w:color w:val="B8860B"/>
              </w:rPr>
              <w:t xml:space="preserve">[Supabase / Postgres]</w:t>
            </w:r>
          </w:p>
        </w:tc>
      </w:tr>
      <w:tr>
        <w:tc>
          <w:tcPr>
            <w:tcW w:type="dxa" w:w="2200"/>
            <w:tcBorders>
              <w:top w:val="single" w:color="C9D6E3" w:sz="1"/>
              <w:left w:val="single" w:color="C9D6E3" w:sz="1"/>
              <w:bottom w:val="single" w:color="C9D6E3" w:sz="1"/>
              <w:right w:val="single" w:color="C9D6E3" w:sz="1"/>
            </w:tcBorders>
            <w:shd w:fill="F6F9FC" w:val="clear"/>
            <w:tcMar>
              <w:top w:type="dxa" w:w="80"/>
              <w:left w:type="dxa" w:w="130"/>
              <w:bottom w:type="dxa" w:w="80"/>
              <w:right w:type="dxa" w:w="130"/>
            </w:tcMar>
            <w:vAlign w:val="center"/>
          </w:tcPr>
          <w:p>
            <w:pPr>
              <w:spacing w:after="0" w:line="252"/>
            </w:pPr>
            <w:r>
              <w:rPr>
                <w:sz w:val="20"/>
                <w:szCs w:val="20"/>
              </w:rPr>
              <w:t xml:space="preserve">Payments</w:t>
            </w:r>
          </w:p>
        </w:tc>
        <w:tc>
          <w:tcPr>
            <w:tcW w:type="dxa" w:w="4226"/>
            <w:tcBorders>
              <w:top w:val="single" w:color="C9D6E3" w:sz="1"/>
              <w:left w:val="single" w:color="C9D6E3" w:sz="1"/>
              <w:bottom w:val="single" w:color="C9D6E3" w:sz="1"/>
              <w:right w:val="single" w:color="C9D6E3" w:sz="1"/>
            </w:tcBorders>
            <w:shd w:fill="F6F9FC" w:val="clear"/>
            <w:tcMar>
              <w:top w:type="dxa" w:w="80"/>
              <w:left w:type="dxa" w:w="130"/>
              <w:bottom w:type="dxa" w:w="80"/>
              <w:right w:type="dxa" w:w="130"/>
            </w:tcMar>
            <w:vAlign w:val="center"/>
          </w:tcPr>
          <w:p>
            <w:pPr>
              <w:spacing w:after="0" w:line="252"/>
            </w:pPr>
            <w:r>
              <w:rPr>
                <w:sz w:val="20"/>
                <w:szCs w:val="20"/>
              </w:rPr>
              <w:t xml:space="preserve">Processes customer payments</w:t>
            </w:r>
          </w:p>
        </w:tc>
        <w:tc>
          <w:tcPr>
            <w:tcW w:type="dxa" w:w="2600"/>
            <w:tcBorders>
              <w:top w:val="single" w:color="C9D6E3" w:sz="1"/>
              <w:left w:val="single" w:color="C9D6E3" w:sz="1"/>
              <w:bottom w:val="single" w:color="C9D6E3" w:sz="1"/>
              <w:right w:val="single" w:color="C9D6E3" w:sz="1"/>
            </w:tcBorders>
            <w:shd w:fill="F6F9FC" w:val="clear"/>
            <w:tcMar>
              <w:top w:type="dxa" w:w="80"/>
              <w:left w:type="dxa" w:w="130"/>
              <w:bottom w:type="dxa" w:w="80"/>
              <w:right w:type="dxa" w:w="130"/>
            </w:tcMar>
            <w:vAlign w:val="center"/>
          </w:tcPr>
          <w:p>
            <w:pPr>
              <w:spacing w:after="0" w:line="252"/>
            </w:pPr>
            <w:r>
              <w:rPr>
                <w:i/>
                <w:iCs/>
                <w:color w:val="B8860B"/>
              </w:rPr>
              <w:t xml:space="preserve">[IPG provider — name]</w:t>
            </w:r>
          </w:p>
        </w:tc>
      </w:tr>
      <w:tr>
        <w:tc>
          <w:tcPr>
            <w:tcW w:type="dxa" w:w="2200"/>
            <w:tcBorders>
              <w:top w:val="single" w:color="C9D6E3" w:sz="1"/>
              <w:left w:val="single" w:color="C9D6E3" w:sz="1"/>
              <w:bottom w:val="single" w:color="C9D6E3" w:sz="1"/>
              <w:right w:val="single" w:color="C9D6E3" w:sz="1"/>
            </w:tcBorders>
            <w:shd w:fill="FFFFFF" w:val="clear"/>
            <w:tcMar>
              <w:top w:type="dxa" w:w="80"/>
              <w:left w:type="dxa" w:w="130"/>
              <w:bottom w:type="dxa" w:w="80"/>
              <w:right w:type="dxa" w:w="130"/>
            </w:tcMar>
            <w:vAlign w:val="center"/>
          </w:tcPr>
          <w:p>
            <w:pPr>
              <w:spacing w:after="0" w:line="252"/>
            </w:pPr>
            <w:r>
              <w:rPr>
                <w:sz w:val="20"/>
                <w:szCs w:val="20"/>
              </w:rPr>
              <w:t xml:space="preserve">Email / SMS</w:t>
            </w:r>
          </w:p>
        </w:tc>
        <w:tc>
          <w:tcPr>
            <w:tcW w:type="dxa" w:w="4226"/>
            <w:tcBorders>
              <w:top w:val="single" w:color="C9D6E3" w:sz="1"/>
              <w:left w:val="single" w:color="C9D6E3" w:sz="1"/>
              <w:bottom w:val="single" w:color="C9D6E3" w:sz="1"/>
              <w:right w:val="single" w:color="C9D6E3" w:sz="1"/>
            </w:tcBorders>
            <w:shd w:fill="FFFFFF" w:val="clear"/>
            <w:tcMar>
              <w:top w:type="dxa" w:w="80"/>
              <w:left w:type="dxa" w:w="130"/>
              <w:bottom w:type="dxa" w:w="80"/>
              <w:right w:type="dxa" w:w="130"/>
            </w:tcMar>
            <w:vAlign w:val="center"/>
          </w:tcPr>
          <w:p>
            <w:pPr>
              <w:spacing w:after="0" w:line="252"/>
            </w:pPr>
            <w:r>
              <w:rPr>
                <w:sz w:val="20"/>
                <w:szCs w:val="20"/>
              </w:rPr>
              <w:t xml:space="preserve">Transactional notifications (SMS = future phase)</w:t>
            </w:r>
          </w:p>
        </w:tc>
        <w:tc>
          <w:tcPr>
            <w:tcW w:type="dxa" w:w="2600"/>
            <w:tcBorders>
              <w:top w:val="single" w:color="C9D6E3" w:sz="1"/>
              <w:left w:val="single" w:color="C9D6E3" w:sz="1"/>
              <w:bottom w:val="single" w:color="C9D6E3" w:sz="1"/>
              <w:right w:val="single" w:color="C9D6E3" w:sz="1"/>
            </w:tcBorders>
            <w:shd w:fill="FFFFFF" w:val="clear"/>
            <w:tcMar>
              <w:top w:type="dxa" w:w="80"/>
              <w:left w:type="dxa" w:w="130"/>
              <w:bottom w:type="dxa" w:w="80"/>
              <w:right w:type="dxa" w:w="130"/>
            </w:tcMar>
            <w:vAlign w:val="center"/>
          </w:tcPr>
          <w:p>
            <w:pPr>
              <w:spacing w:after="0" w:line="252"/>
            </w:pPr>
            <w:r>
              <w:rPr>
                <w:i/>
                <w:iCs/>
                <w:color w:val="B8860B"/>
              </w:rPr>
              <w:t xml:space="preserve">[provider / pending]</w:t>
            </w:r>
          </w:p>
        </w:tc>
      </w:tr>
    </w:tbl>
    <w:p>
      <w:pPr>
        <w:spacing w:after="120"/>
      </w:pPr>
      <w:r>
        <w:t xml:space="preserve"/>
      </w:r>
    </w:p>
    <w:p>
      <w:pPr>
        <w:spacing w:after="80" w:line="260"/>
      </w:pPr>
      <w:r>
        <w:rPr>
          <w:b/>
          <w:bCs/>
          <w:color w:val="1F2A44"/>
        </w:rPr>
        <w:t xml:space="preserve">Architecture diagram: </w:t>
      </w:r>
      <w:r>
        <w:rPr>
          <w:i/>
          <w:iCs/>
          <w:color w:val="B8860B"/>
        </w:rPr>
        <w:t xml:space="preserve">[Insert or link a simple diagram: Browser → Cloudflare → Vercel → Supabase, with IPG and email/SMS as side integrations.]</w:t>
      </w:r>
    </w:p>
    <w:p>
      <w:pPr>
        <w:pStyle w:val="Heading1"/>
      </w:pPr>
      <w:r>
        <w:t xml:space="preserve">3.  Tech Stack</w:t>
      </w:r>
    </w:p>
    <w:p>
      <w:pPr>
        <w:spacing w:after="120" w:line="264"/>
      </w:pPr>
      <w:r>
        <w:t xml:space="preserve">Record the exact frameworks, languages, and key libraries used, with versions. Filling these in precisely now will save significant time for any future developer.</w:t>
      </w:r>
    </w:p>
    <w:p>
      <w:pPr>
        <w:spacing w:after="80" w:line="260"/>
      </w:pPr>
      <w:r>
        <w:rPr>
          <w:b/>
          <w:bCs/>
          <w:color w:val="1F2A44"/>
        </w:rPr>
        <w:t xml:space="preserve">Framework: </w:t>
      </w:r>
      <w:r>
        <w:rPr>
          <w:i/>
          <w:iCs/>
          <w:color w:val="B8860B"/>
        </w:rPr>
        <w:t xml:space="preserve">[e.g. Next.js (App Router) — version]</w:t>
      </w:r>
    </w:p>
    <w:p>
      <w:pPr>
        <w:spacing w:after="80" w:line="260"/>
      </w:pPr>
      <w:r>
        <w:rPr>
          <w:b/>
          <w:bCs/>
          <w:color w:val="1F2A44"/>
        </w:rPr>
        <w:t xml:space="preserve">Language: </w:t>
      </w:r>
      <w:r>
        <w:rPr>
          <w:i/>
          <w:iCs/>
          <w:color w:val="B8860B"/>
        </w:rPr>
        <w:t xml:space="preserve">[e.g. TypeScript / JavaScript — version]</w:t>
      </w:r>
    </w:p>
    <w:p>
      <w:pPr>
        <w:spacing w:after="80" w:line="260"/>
      </w:pPr>
      <w:r>
        <w:rPr>
          <w:b/>
          <w:bCs/>
          <w:color w:val="1F2A44"/>
        </w:rPr>
        <w:t xml:space="preserve">Styling / UI: </w:t>
      </w:r>
      <w:r>
        <w:rPr>
          <w:i/>
          <w:iCs/>
          <w:color w:val="B8860B"/>
        </w:rPr>
        <w:t xml:space="preserve">[e.g. Tailwind CSS, component library]</w:t>
      </w:r>
    </w:p>
    <w:p>
      <w:pPr>
        <w:spacing w:after="80" w:line="260"/>
      </w:pPr>
      <w:r>
        <w:rPr>
          <w:b/>
          <w:bCs/>
          <w:color w:val="1F2A44"/>
        </w:rPr>
        <w:t xml:space="preserve">Backend / API: </w:t>
      </w:r>
      <w:r>
        <w:rPr>
          <w:i/>
          <w:iCs/>
          <w:color w:val="B8860B"/>
        </w:rPr>
        <w:t xml:space="preserve">[e.g. Next.js API routes / server actions]</w:t>
      </w:r>
    </w:p>
    <w:p>
      <w:pPr>
        <w:spacing w:after="80" w:line="260"/>
      </w:pPr>
      <w:r>
        <w:rPr>
          <w:b/>
          <w:bCs/>
          <w:color w:val="1F2A44"/>
        </w:rPr>
        <w:t xml:space="preserve">Database: </w:t>
      </w:r>
      <w:r>
        <w:rPr>
          <w:i/>
          <w:iCs/>
          <w:color w:val="B8860B"/>
        </w:rPr>
        <w:t xml:space="preserve">[Supabase / PostgreSQL — version]</w:t>
      </w:r>
    </w:p>
    <w:p>
      <w:pPr>
        <w:spacing w:after="80" w:line="260"/>
      </w:pPr>
      <w:r>
        <w:rPr>
          <w:b/>
          <w:bCs/>
          <w:color w:val="1F2A44"/>
        </w:rPr>
        <w:t xml:space="preserve">Auth: </w:t>
      </w:r>
      <w:r>
        <w:rPr>
          <w:i/>
          <w:iCs/>
          <w:color w:val="B8860B"/>
        </w:rPr>
        <w:t xml:space="preserve">[Supabase Auth / other]</w:t>
      </w:r>
    </w:p>
    <w:p>
      <w:pPr>
        <w:spacing w:after="80" w:line="260"/>
      </w:pPr>
      <w:r>
        <w:rPr>
          <w:b/>
          <w:bCs/>
          <w:color w:val="1F2A44"/>
        </w:rPr>
        <w:t xml:space="preserve">Key libraries: </w:t>
      </w:r>
      <w:r>
        <w:rPr>
          <w:i/>
          <w:iCs/>
          <w:color w:val="B8860B"/>
        </w:rPr>
        <w:t xml:space="preserve">[i18n, form handling, charts for analytics, image handling, etc.]</w:t>
      </w:r>
    </w:p>
    <w:p>
      <w:pPr>
        <w:spacing w:after="80" w:line="260"/>
      </w:pPr>
      <w:r>
        <w:rPr>
          <w:b/>
          <w:bCs/>
          <w:color w:val="1F2A44"/>
        </w:rPr>
        <w:t xml:space="preserve">Package manager / Node version: </w:t>
      </w:r>
      <w:r>
        <w:rPr>
          <w:i/>
          <w:iCs/>
          <w:color w:val="B8860B"/>
        </w:rPr>
        <w:t xml:space="preserve">[e.g. npm / pnpm, Node 20.x]</w:t>
      </w:r>
    </w:p>
    <w:p>
      <w:pPr>
        <w:pStyle w:val="Heading1"/>
      </w:pPr>
      <w:r>
        <w:t xml:space="preserve">4.  Folder Structure</w:t>
      </w:r>
    </w:p>
    <w:p>
      <w:pPr>
        <w:spacing w:after="120" w:line="264"/>
      </w:pPr>
      <w:r>
        <w:t xml:space="preserve">Document the top-level layout of the repository so a new developer can orient quickly. Replace the example below with your actual structure.</w:t>
      </w:r>
    </w:p>
    <w:tbl>
      <w:tblPr>
        <w:tblW w:type="dxa" w:w="9026"/>
        <w:tblBorders>
          <w:top w:val="single" w:color="F6F9FC" w:sz="2"/>
          <w:left w:val="single" w:color="5B6573" w:sz="24"/>
          <w:bottom w:val="single" w:color="F6F9FC" w:sz="2"/>
          <w:right w:val="single" w:color="F6F9FC" w:sz="2"/>
          <w:insideH w:val="single" w:color="auto" w:sz="4"/>
          <w:insideV w:val="single" w:color="auto" w:sz="4"/>
        </w:tblBorders>
      </w:tblPr>
      <w:tblGrid>
        <w:gridCol w:w="9026"/>
      </w:tblGrid>
      <w:tr>
        <w:tc>
          <w:tcPr>
            <w:tcW w:type="dxa" w:w="9026"/>
            <w:shd w:fill="F6F9FC" w:val="clear"/>
            <w:tcMar>
              <w:top w:type="dxa" w:w="130"/>
              <w:left w:type="dxa" w:w="200"/>
              <w:bottom w:type="dxa" w:w="130"/>
              <w:right w:type="dxa" w:w="160"/>
            </w:tcMar>
          </w:tcPr>
          <w:p>
            <w:pPr>
              <w:spacing w:after="80"/>
            </w:pPr>
            <w:r>
              <w:rPr>
                <w:b/>
                <w:bCs/>
                <w:color w:val="1F2A44"/>
              </w:rPr>
              <w:t xml:space="preserve">Example layout — replace with your own</w:t>
            </w:r>
          </w:p>
          <w:p>
            <w:pPr>
              <w:spacing w:after="70" w:line="258"/>
            </w:pPr>
            <w:r>
              <w:rPr>
                <w:rFonts w:ascii="Consolas" w:cs="Consolas" w:eastAsia="Consolas" w:hAnsi="Consolas"/>
              </w:rPr>
              <w:t xml:space="preserve">/app or /pages — routes and pages (public site + /admin)</w:t>
            </w:r>
          </w:p>
          <w:p>
            <w:pPr>
              <w:spacing w:after="70" w:line="258"/>
            </w:pPr>
            <w:r>
              <w:rPr>
                <w:rFonts w:ascii="Consolas" w:cs="Consolas" w:eastAsia="Consolas" w:hAnsi="Consolas"/>
              </w:rPr>
              <w:t xml:space="preserve">/components — reusable UI components</w:t>
            </w:r>
          </w:p>
          <w:p>
            <w:pPr>
              <w:spacing w:after="70" w:line="258"/>
            </w:pPr>
            <w:r>
              <w:rPr>
                <w:rFonts w:ascii="Consolas" w:cs="Consolas" w:eastAsia="Consolas" w:hAnsi="Consolas"/>
              </w:rPr>
              <w:t xml:space="preserve">/lib — helpers, Supabase client, utilities</w:t>
            </w:r>
          </w:p>
          <w:p>
            <w:pPr>
              <w:spacing w:after="70" w:line="258"/>
            </w:pPr>
            <w:r>
              <w:rPr>
                <w:rFonts w:ascii="Consolas" w:cs="Consolas" w:eastAsia="Consolas" w:hAnsi="Consolas"/>
              </w:rPr>
              <w:t xml:space="preserve">/locales or /i18n — translation files per language</w:t>
            </w:r>
          </w:p>
          <w:p>
            <w:pPr>
              <w:spacing w:after="70" w:line="258"/>
            </w:pPr>
            <w:r>
              <w:rPr>
                <w:rFonts w:ascii="Consolas" w:cs="Consolas" w:eastAsia="Consolas" w:hAnsi="Consolas"/>
              </w:rPr>
              <w:t xml:space="preserve">/public — static assets (images, icons)</w:t>
            </w:r>
          </w:p>
          <w:p>
            <w:pPr>
              <w:spacing w:after="70" w:line="258"/>
            </w:pPr>
            <w:r>
              <w:rPr>
                <w:rFonts w:ascii="Consolas" w:cs="Consolas" w:eastAsia="Consolas" w:hAnsi="Consolas"/>
              </w:rPr>
              <w:t xml:space="preserve">/styles — global styles / Tailwind config</w:t>
            </w:r>
          </w:p>
          <w:p>
            <w:pPr>
              <w:spacing w:after="0" w:line="258"/>
            </w:pPr>
            <w:r>
              <w:rPr>
                <w:rFonts w:ascii="Consolas" w:cs="Consolas" w:eastAsia="Consolas" w:hAnsi="Consolas"/>
              </w:rPr>
              <w:t xml:space="preserve">/supabase — migrations, SQL, edge functions (if used)</w:t>
            </w:r>
          </w:p>
        </w:tc>
      </w:tr>
    </w:tbl>
    <w:p>
      <w:pPr>
        <w:spacing w:after="80" w:line="260"/>
      </w:pPr>
      <w:r>
        <w:rPr>
          <w:b/>
          <w:bCs/>
          <w:color w:val="1F2A44"/>
        </w:rPr>
        <w:t xml:space="preserve">Actual structure: </w:t>
      </w:r>
      <w:r>
        <w:rPr>
          <w:i/>
          <w:iCs/>
          <w:color w:val="B8860B"/>
        </w:rPr>
        <w:t xml:space="preserve">[Paste the output of a tree command, trimmed to the meaningful folders.]</w:t>
      </w:r>
    </w:p>
    <w:p>
      <w:pPr>
        <w:pStyle w:val="Heading1"/>
      </w:pPr>
      <w:r>
        <w:t xml:space="preserve">5.  Local Development Setup</w:t>
      </w:r>
    </w:p>
    <w:p>
      <w:pPr>
        <w:pStyle w:val="ListParagraph"/>
        <w:numPr>
          <w:ilvl w:val="0"/>
          <w:numId w:val="2"/>
        </w:numPr>
        <w:spacing w:after="90" w:line="260"/>
      </w:pPr>
      <w:r>
        <w:t xml:space="preserve">Clone the repository (Kaizen AI grants collaborator access on GitHub).</w:t>
      </w:r>
    </w:p>
    <w:p>
      <w:pPr>
        <w:pStyle w:val="ListParagraph"/>
        <w:numPr>
          <w:ilvl w:val="0"/>
          <w:numId w:val="2"/>
        </w:numPr>
        <w:spacing w:after="90"/>
      </w:pPr>
      <w:r>
        <w:t xml:space="preserve">Install dependencies: </w:t>
      </w:r>
      <w:r>
        <w:rPr>
          <w:rFonts w:ascii="Consolas" w:cs="Consolas" w:eastAsia="Consolas" w:hAnsi="Consolas"/>
          <w:i/>
          <w:iCs/>
          <w:color w:val="B8860B"/>
        </w:rPr>
        <w:t xml:space="preserve">[npm install / pnpm install]</w:t>
      </w:r>
    </w:p>
    <w:p>
      <w:pPr>
        <w:pStyle w:val="ListParagraph"/>
        <w:numPr>
          <w:ilvl w:val="0"/>
          <w:numId w:val="2"/>
        </w:numPr>
        <w:spacing w:after="90"/>
      </w:pPr>
      <w:r>
        <w:t xml:space="preserve">Copy </w:t>
      </w:r>
      <w:r>
        <w:rPr>
          <w:rFonts w:ascii="Consolas" w:cs="Consolas" w:eastAsia="Consolas" w:hAnsi="Consolas"/>
        </w:rPr>
        <w:t xml:space="preserve">.env.example</w:t>
      </w:r>
      <w:r>
        <w:t xml:space="preserve"> to </w:t>
      </w:r>
      <w:r>
        <w:rPr>
          <w:rFonts w:ascii="Consolas" w:cs="Consolas" w:eastAsia="Consolas" w:hAnsi="Consolas"/>
        </w:rPr>
        <w:t xml:space="preserve">.env.local</w:t>
      </w:r>
      <w:r>
        <w:t xml:space="preserve"> and fill in the values (see section 7).</w:t>
      </w:r>
    </w:p>
    <w:p>
      <w:pPr>
        <w:pStyle w:val="ListParagraph"/>
        <w:numPr>
          <w:ilvl w:val="0"/>
          <w:numId w:val="2"/>
        </w:numPr>
        <w:spacing w:after="90"/>
      </w:pPr>
      <w:r>
        <w:t xml:space="preserve">Run the dev server: </w:t>
      </w:r>
      <w:r>
        <w:rPr>
          <w:rFonts w:ascii="Consolas" w:cs="Consolas" w:eastAsia="Consolas" w:hAnsi="Consolas"/>
          <w:i/>
          <w:iCs/>
          <w:color w:val="B8860B"/>
        </w:rPr>
        <w:t xml:space="preserve">[npm run dev]</w:t>
      </w:r>
    </w:p>
    <w:p>
      <w:pPr>
        <w:pStyle w:val="ListParagraph"/>
        <w:numPr>
          <w:ilvl w:val="0"/>
          <w:numId w:val="2"/>
        </w:numPr>
        <w:spacing w:after="90" w:line="260"/>
      </w:pPr>
      <w:r>
        <w:t xml:space="preserve">Open the local URL shown in the terminal (typically http://localhost:3000).</w:t>
      </w:r>
    </w:p>
    <w:p>
      <w:pPr>
        <w:pStyle w:val="Heading1"/>
      </w:pPr>
      <w:r>
        <w:t xml:space="preserve">6.  Deployment Process</w:t>
      </w:r>
    </w:p>
    <w:p>
      <w:pPr>
        <w:spacing w:after="120" w:line="264"/>
      </w:pPr>
      <w:r>
        <w:t xml:space="preserve">Deployment is automated through the hosting provider’s Git integration. The typical flow is below — confirm and adjust to match your actual branch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C9D6E3" w:sz="1"/>
              <w:left w:val="single" w:color="C9D6E3" w:sz="1"/>
              <w:bottom w:val="single" w:color="C9D6E3" w:sz="1"/>
              <w:right w:val="single" w:color="C9D6E3" w:sz="1"/>
            </w:tcBorders>
            <w:shd w:fill="1F2A44" w:val="clear"/>
            <w:tcMar>
              <w:top w:type="dxa" w:w="90"/>
              <w:left w:type="dxa" w:w="130"/>
              <w:bottom w:type="dxa" w:w="90"/>
              <w:right w:type="dxa" w:w="130"/>
            </w:tcMar>
            <w:vAlign w:val="center"/>
          </w:tcPr>
          <w:p>
            <w:r>
              <w:rPr>
                <w:b/>
                <w:bCs/>
                <w:color w:val="FFFFFF"/>
                <w:sz w:val="20"/>
                <w:szCs w:val="20"/>
              </w:rPr>
              <w:t xml:space="preserve">Branch</w:t>
            </w:r>
          </w:p>
        </w:tc>
        <w:tc>
          <w:tcPr>
            <w:tcW w:type="dxa" w:w="2400"/>
            <w:tcBorders>
              <w:top w:val="single" w:color="C9D6E3" w:sz="1"/>
              <w:left w:val="single" w:color="C9D6E3" w:sz="1"/>
              <w:bottom w:val="single" w:color="C9D6E3" w:sz="1"/>
              <w:right w:val="single" w:color="C9D6E3" w:sz="1"/>
            </w:tcBorders>
            <w:shd w:fill="1F2A44" w:val="clear"/>
            <w:tcMar>
              <w:top w:type="dxa" w:w="90"/>
              <w:left w:type="dxa" w:w="130"/>
              <w:bottom w:type="dxa" w:w="90"/>
              <w:right w:type="dxa" w:w="130"/>
            </w:tcMar>
            <w:vAlign w:val="center"/>
          </w:tcPr>
          <w:p>
            <w:r>
              <w:rPr>
                <w:b/>
                <w:bCs/>
                <w:color w:val="FFFFFF"/>
                <w:sz w:val="20"/>
                <w:szCs w:val="20"/>
              </w:rPr>
              <w:t xml:space="preserve">Environment</w:t>
            </w:r>
          </w:p>
        </w:tc>
        <w:tc>
          <w:tcPr>
            <w:tcW w:type="dxa" w:w="4226"/>
            <w:tcBorders>
              <w:top w:val="single" w:color="C9D6E3" w:sz="1"/>
              <w:left w:val="single" w:color="C9D6E3" w:sz="1"/>
              <w:bottom w:val="single" w:color="C9D6E3" w:sz="1"/>
              <w:right w:val="single" w:color="C9D6E3" w:sz="1"/>
            </w:tcBorders>
            <w:shd w:fill="1F2A44" w:val="clear"/>
            <w:tcMar>
              <w:top w:type="dxa" w:w="90"/>
              <w:left w:type="dxa" w:w="130"/>
              <w:bottom w:type="dxa" w:w="90"/>
              <w:right w:type="dxa" w:w="130"/>
            </w:tcMar>
            <w:vAlign w:val="center"/>
          </w:tcPr>
          <w:p>
            <w:r>
              <w:rPr>
                <w:b/>
                <w:bCs/>
                <w:color w:val="FFFFFF"/>
                <w:sz w:val="20"/>
                <w:szCs w:val="20"/>
              </w:rPr>
              <w:t xml:space="preserve">Behaviour</w:t>
            </w:r>
          </w:p>
        </w:tc>
      </w:tr>
      <w:tr>
        <w:tc>
          <w:tcPr>
            <w:tcW w:type="dxa" w:w="2400"/>
            <w:tcBorders>
              <w:top w:val="single" w:color="C9D6E3" w:sz="1"/>
              <w:left w:val="single" w:color="C9D6E3" w:sz="1"/>
              <w:bottom w:val="single" w:color="C9D6E3" w:sz="1"/>
              <w:right w:val="single" w:color="C9D6E3" w:sz="1"/>
            </w:tcBorders>
            <w:shd w:fill="FFFFFF" w:val="clear"/>
            <w:tcMar>
              <w:top w:type="dxa" w:w="80"/>
              <w:left w:type="dxa" w:w="130"/>
              <w:bottom w:type="dxa" w:w="80"/>
              <w:right w:type="dxa" w:w="130"/>
            </w:tcMar>
            <w:vAlign w:val="center"/>
          </w:tcPr>
          <w:p>
            <w:pPr>
              <w:spacing w:after="0" w:line="252"/>
            </w:pPr>
            <w:r>
              <w:rPr>
                <w:i/>
                <w:iCs/>
                <w:color w:val="B8860B"/>
              </w:rPr>
              <w:t xml:space="preserve">[main]</w:t>
            </w:r>
          </w:p>
        </w:tc>
        <w:tc>
          <w:tcPr>
            <w:tcW w:type="dxa" w:w="2400"/>
            <w:tcBorders>
              <w:top w:val="single" w:color="C9D6E3" w:sz="1"/>
              <w:left w:val="single" w:color="C9D6E3" w:sz="1"/>
              <w:bottom w:val="single" w:color="C9D6E3" w:sz="1"/>
              <w:right w:val="single" w:color="C9D6E3" w:sz="1"/>
            </w:tcBorders>
            <w:shd w:fill="FFFFFF" w:val="clear"/>
            <w:tcMar>
              <w:top w:type="dxa" w:w="80"/>
              <w:left w:type="dxa" w:w="130"/>
              <w:bottom w:type="dxa" w:w="80"/>
              <w:right w:type="dxa" w:w="130"/>
            </w:tcMar>
            <w:vAlign w:val="center"/>
          </w:tcPr>
          <w:p>
            <w:pPr>
              <w:spacing w:after="0" w:line="252"/>
            </w:pPr>
            <w:r>
              <w:rPr>
                <w:sz w:val="20"/>
                <w:szCs w:val="20"/>
              </w:rPr>
              <w:t xml:space="preserve">Production</w:t>
            </w:r>
          </w:p>
        </w:tc>
        <w:tc>
          <w:tcPr>
            <w:tcW w:type="dxa" w:w="4226"/>
            <w:tcBorders>
              <w:top w:val="single" w:color="C9D6E3" w:sz="1"/>
              <w:left w:val="single" w:color="C9D6E3" w:sz="1"/>
              <w:bottom w:val="single" w:color="C9D6E3" w:sz="1"/>
              <w:right w:val="single" w:color="C9D6E3" w:sz="1"/>
            </w:tcBorders>
            <w:shd w:fill="FFFFFF" w:val="clear"/>
            <w:tcMar>
              <w:top w:type="dxa" w:w="80"/>
              <w:left w:type="dxa" w:w="130"/>
              <w:bottom w:type="dxa" w:w="80"/>
              <w:right w:type="dxa" w:w="130"/>
            </w:tcMar>
            <w:vAlign w:val="center"/>
          </w:tcPr>
          <w:p>
            <w:pPr>
              <w:spacing w:after="0" w:line="252"/>
            </w:pPr>
            <w:r>
              <w:rPr>
                <w:sz w:val="20"/>
                <w:szCs w:val="20"/>
              </w:rPr>
              <w:t xml:space="preserve">Auto-deploys to the live site on merge.</w:t>
            </w:r>
          </w:p>
        </w:tc>
      </w:tr>
      <w:tr>
        <w:tc>
          <w:tcPr>
            <w:tcW w:type="dxa" w:w="2400"/>
            <w:tcBorders>
              <w:top w:val="single" w:color="C9D6E3" w:sz="1"/>
              <w:left w:val="single" w:color="C9D6E3" w:sz="1"/>
              <w:bottom w:val="single" w:color="C9D6E3" w:sz="1"/>
              <w:right w:val="single" w:color="C9D6E3" w:sz="1"/>
            </w:tcBorders>
            <w:shd w:fill="F6F9FC" w:val="clear"/>
            <w:tcMar>
              <w:top w:type="dxa" w:w="80"/>
              <w:left w:type="dxa" w:w="130"/>
              <w:bottom w:type="dxa" w:w="80"/>
              <w:right w:type="dxa" w:w="130"/>
            </w:tcMar>
            <w:vAlign w:val="center"/>
          </w:tcPr>
          <w:p>
            <w:pPr>
              <w:spacing w:after="0" w:line="252"/>
            </w:pPr>
            <w:r>
              <w:rPr>
                <w:i/>
                <w:iCs/>
                <w:color w:val="B8860B"/>
              </w:rPr>
              <w:t xml:space="preserve">[develop / staging]</w:t>
            </w:r>
          </w:p>
        </w:tc>
        <w:tc>
          <w:tcPr>
            <w:tcW w:type="dxa" w:w="2400"/>
            <w:tcBorders>
              <w:top w:val="single" w:color="C9D6E3" w:sz="1"/>
              <w:left w:val="single" w:color="C9D6E3" w:sz="1"/>
              <w:bottom w:val="single" w:color="C9D6E3" w:sz="1"/>
              <w:right w:val="single" w:color="C9D6E3" w:sz="1"/>
            </w:tcBorders>
            <w:shd w:fill="F6F9FC" w:val="clear"/>
            <w:tcMar>
              <w:top w:type="dxa" w:w="80"/>
              <w:left w:type="dxa" w:w="130"/>
              <w:bottom w:type="dxa" w:w="80"/>
              <w:right w:type="dxa" w:w="130"/>
            </w:tcMar>
            <w:vAlign w:val="center"/>
          </w:tcPr>
          <w:p>
            <w:pPr>
              <w:spacing w:after="0" w:line="252"/>
            </w:pPr>
            <w:r>
              <w:rPr>
                <w:sz w:val="20"/>
                <w:szCs w:val="20"/>
              </w:rPr>
              <w:t xml:space="preserve">Preview / Staging</w:t>
            </w:r>
          </w:p>
        </w:tc>
        <w:tc>
          <w:tcPr>
            <w:tcW w:type="dxa" w:w="4226"/>
            <w:tcBorders>
              <w:top w:val="single" w:color="C9D6E3" w:sz="1"/>
              <w:left w:val="single" w:color="C9D6E3" w:sz="1"/>
              <w:bottom w:val="single" w:color="C9D6E3" w:sz="1"/>
              <w:right w:val="single" w:color="C9D6E3" w:sz="1"/>
            </w:tcBorders>
            <w:shd w:fill="F6F9FC" w:val="clear"/>
            <w:tcMar>
              <w:top w:type="dxa" w:w="80"/>
              <w:left w:type="dxa" w:w="130"/>
              <w:bottom w:type="dxa" w:w="80"/>
              <w:right w:type="dxa" w:w="130"/>
            </w:tcMar>
            <w:vAlign w:val="center"/>
          </w:tcPr>
          <w:p>
            <w:pPr>
              <w:spacing w:after="0" w:line="252"/>
            </w:pPr>
            <w:r>
              <w:rPr>
                <w:sz w:val="20"/>
                <w:szCs w:val="20"/>
              </w:rPr>
              <w:t xml:space="preserve">Auto-deploys a preview build for review.</w:t>
            </w:r>
          </w:p>
        </w:tc>
      </w:tr>
      <w:tr>
        <w:tc>
          <w:tcPr>
            <w:tcW w:type="dxa" w:w="2400"/>
            <w:tcBorders>
              <w:top w:val="single" w:color="C9D6E3" w:sz="1"/>
              <w:left w:val="single" w:color="C9D6E3" w:sz="1"/>
              <w:bottom w:val="single" w:color="C9D6E3" w:sz="1"/>
              <w:right w:val="single" w:color="C9D6E3" w:sz="1"/>
            </w:tcBorders>
            <w:shd w:fill="FFFFFF" w:val="clear"/>
            <w:tcMar>
              <w:top w:type="dxa" w:w="80"/>
              <w:left w:type="dxa" w:w="130"/>
              <w:bottom w:type="dxa" w:w="80"/>
              <w:right w:type="dxa" w:w="130"/>
            </w:tcMar>
            <w:vAlign w:val="center"/>
          </w:tcPr>
          <w:p>
            <w:pPr>
              <w:spacing w:after="0" w:line="252"/>
            </w:pPr>
            <w:r>
              <w:rPr>
                <w:sz w:val="20"/>
                <w:szCs w:val="20"/>
              </w:rPr>
              <w:t xml:space="preserve">feature/*</w:t>
            </w:r>
          </w:p>
        </w:tc>
        <w:tc>
          <w:tcPr>
            <w:tcW w:type="dxa" w:w="2400"/>
            <w:tcBorders>
              <w:top w:val="single" w:color="C9D6E3" w:sz="1"/>
              <w:left w:val="single" w:color="C9D6E3" w:sz="1"/>
              <w:bottom w:val="single" w:color="C9D6E3" w:sz="1"/>
              <w:right w:val="single" w:color="C9D6E3" w:sz="1"/>
            </w:tcBorders>
            <w:shd w:fill="FFFFFF" w:val="clear"/>
            <w:tcMar>
              <w:top w:type="dxa" w:w="80"/>
              <w:left w:type="dxa" w:w="130"/>
              <w:bottom w:type="dxa" w:w="80"/>
              <w:right w:type="dxa" w:w="130"/>
            </w:tcMar>
            <w:vAlign w:val="center"/>
          </w:tcPr>
          <w:p>
            <w:pPr>
              <w:spacing w:after="0" w:line="252"/>
            </w:pPr>
            <w:r>
              <w:rPr>
                <w:sz w:val="20"/>
                <w:szCs w:val="20"/>
              </w:rPr>
              <w:t xml:space="preserve">Preview</w:t>
            </w:r>
          </w:p>
        </w:tc>
        <w:tc>
          <w:tcPr>
            <w:tcW w:type="dxa" w:w="4226"/>
            <w:tcBorders>
              <w:top w:val="single" w:color="C9D6E3" w:sz="1"/>
              <w:left w:val="single" w:color="C9D6E3" w:sz="1"/>
              <w:bottom w:val="single" w:color="C9D6E3" w:sz="1"/>
              <w:right w:val="single" w:color="C9D6E3" w:sz="1"/>
            </w:tcBorders>
            <w:shd w:fill="FFFFFF" w:val="clear"/>
            <w:tcMar>
              <w:top w:type="dxa" w:w="80"/>
              <w:left w:type="dxa" w:w="130"/>
              <w:bottom w:type="dxa" w:w="80"/>
              <w:right w:type="dxa" w:w="130"/>
            </w:tcMar>
            <w:vAlign w:val="center"/>
          </w:tcPr>
          <w:p>
            <w:pPr>
              <w:spacing w:after="0" w:line="252"/>
            </w:pPr>
            <w:r>
              <w:rPr>
                <w:sz w:val="20"/>
                <w:szCs w:val="20"/>
              </w:rPr>
              <w:t xml:space="preserve">Each push creates a disposable preview URL.</w:t>
            </w:r>
          </w:p>
        </w:tc>
      </w:tr>
    </w:tbl>
    <w:p>
      <w:pPr>
        <w:spacing w:after="120"/>
      </w:pPr>
      <w:r>
        <w:t xml:space="preserve"/>
      </w:r>
    </w:p>
    <w:tbl>
      <w:tblPr>
        <w:tblW w:type="dxa" w:w="9026"/>
        <w:tblBorders>
          <w:top w:val="single" w:color="EEF3F9" w:sz="2"/>
          <w:left w:val="single" w:color="B8860B" w:sz="24"/>
          <w:bottom w:val="single" w:color="EEF3F9" w:sz="2"/>
          <w:right w:val="single" w:color="EEF3F9" w:sz="2"/>
          <w:insideH w:val="single" w:color="auto" w:sz="4"/>
          <w:insideV w:val="single" w:color="auto" w:sz="4"/>
        </w:tblBorders>
      </w:tblPr>
      <w:tblGrid>
        <w:gridCol w:w="9026"/>
      </w:tblGrid>
      <w:tr>
        <w:tc>
          <w:tcPr>
            <w:tcW w:type="dxa" w:w="9026"/>
            <w:shd w:fill="EEF3F9" w:val="clear"/>
            <w:tcMar>
              <w:top w:type="dxa" w:w="130"/>
              <w:left w:type="dxa" w:w="200"/>
              <w:bottom w:type="dxa" w:w="130"/>
              <w:right w:type="dxa" w:w="160"/>
            </w:tcMar>
          </w:tcPr>
          <w:p>
            <w:pPr>
              <w:spacing w:after="80"/>
            </w:pPr>
            <w:r>
              <w:rPr>
                <w:b/>
                <w:bCs/>
                <w:color w:val="1F2A44"/>
              </w:rPr>
              <w:t xml:space="preserve">Deployment rules of thumb</w:t>
            </w:r>
          </w:p>
          <w:p>
            <w:pPr>
              <w:spacing w:after="70" w:line="258"/>
            </w:pPr>
            <w:r>
              <w:t xml:space="preserve">Never commit secrets. Environment variables are configured in the hosting dashboard, not in the repo.</w:t>
            </w:r>
          </w:p>
          <w:p>
            <w:pPr>
              <w:spacing w:after="70" w:line="258"/>
            </w:pPr>
            <w:r>
              <w:t xml:space="preserve">Test on a preview / staging deployment before merging to the production branch.</w:t>
            </w:r>
          </w:p>
          <w:p>
            <w:pPr>
              <w:spacing w:after="0" w:line="258"/>
            </w:pPr>
            <w:r>
              <w:t xml:space="preserve">Database schema changes should go through migrations, not manual edits to the production database.</w:t>
            </w:r>
          </w:p>
        </w:tc>
      </w:tr>
    </w:tbl>
    <w:p>
      <w:pPr>
        <w:spacing w:after="80" w:line="260"/>
      </w:pPr>
      <w:r>
        <w:rPr>
          <w:b/>
          <w:bCs/>
          <w:color w:val="1F2A44"/>
        </w:rPr>
        <w:t xml:space="preserve">Exact deploy steps &amp; rollback: </w:t>
      </w:r>
      <w:r>
        <w:rPr>
          <w:i/>
          <w:iCs/>
          <w:color w:val="B8860B"/>
        </w:rPr>
        <w:t xml:space="preserve">[Document how to trigger a deploy, how to promote a preview to production, and how to roll back to a previous deployment if something breaks.]</w:t>
      </w:r>
    </w:p>
    <w:p>
      <w:pPr>
        <w:pStyle w:val="Heading1"/>
      </w:pPr>
      <w:r>
        <w:t xml:space="preserve">7.  Environment Variables</w:t>
      </w:r>
    </w:p>
    <w:p>
      <w:pPr>
        <w:spacing w:after="120" w:line="264"/>
      </w:pPr>
      <w:r>
        <w:t xml:space="preserve">The application requires the following environment variables. Actual secret values are NOT stored in this document — they live in the hosting provider and in the team password manager. This is a reference of which variables exist and what they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3426"/>
        <w:gridCol w:w="2200"/>
      </w:tblGrid>
      <w:tr>
        <w:trPr>
          <w:tblHeader/>
        </w:trPr>
        <w:tc>
          <w:tcPr>
            <w:tcW w:type="dxa" w:w="3400"/>
            <w:tcBorders>
              <w:top w:val="single" w:color="C9D6E3" w:sz="1"/>
              <w:left w:val="single" w:color="C9D6E3" w:sz="1"/>
              <w:bottom w:val="single" w:color="C9D6E3" w:sz="1"/>
              <w:right w:val="single" w:color="C9D6E3" w:sz="1"/>
            </w:tcBorders>
            <w:shd w:fill="1F2A44" w:val="clear"/>
            <w:tcMar>
              <w:top w:type="dxa" w:w="90"/>
              <w:left w:type="dxa" w:w="130"/>
              <w:bottom w:type="dxa" w:w="90"/>
              <w:right w:type="dxa" w:w="130"/>
            </w:tcMar>
            <w:vAlign w:val="center"/>
          </w:tcPr>
          <w:p>
            <w:r>
              <w:rPr>
                <w:b/>
                <w:bCs/>
                <w:color w:val="FFFFFF"/>
                <w:sz w:val="20"/>
                <w:szCs w:val="20"/>
              </w:rPr>
              <w:t xml:space="preserve">Variable</w:t>
            </w:r>
          </w:p>
        </w:tc>
        <w:tc>
          <w:tcPr>
            <w:tcW w:type="dxa" w:w="3426"/>
            <w:tcBorders>
              <w:top w:val="single" w:color="C9D6E3" w:sz="1"/>
              <w:left w:val="single" w:color="C9D6E3" w:sz="1"/>
              <w:bottom w:val="single" w:color="C9D6E3" w:sz="1"/>
              <w:right w:val="single" w:color="C9D6E3" w:sz="1"/>
            </w:tcBorders>
            <w:shd w:fill="1F2A44" w:val="clear"/>
            <w:tcMar>
              <w:top w:type="dxa" w:w="90"/>
              <w:left w:type="dxa" w:w="130"/>
              <w:bottom w:type="dxa" w:w="90"/>
              <w:right w:type="dxa" w:w="130"/>
            </w:tcMar>
            <w:vAlign w:val="center"/>
          </w:tcPr>
          <w:p>
            <w:r>
              <w:rPr>
                <w:b/>
                <w:bCs/>
                <w:color w:val="FFFFFF"/>
                <w:sz w:val="20"/>
                <w:szCs w:val="20"/>
              </w:rPr>
              <w:t xml:space="preserve">Purpose</w:t>
            </w:r>
          </w:p>
        </w:tc>
        <w:tc>
          <w:tcPr>
            <w:tcW w:type="dxa" w:w="2200"/>
            <w:tcBorders>
              <w:top w:val="single" w:color="C9D6E3" w:sz="1"/>
              <w:left w:val="single" w:color="C9D6E3" w:sz="1"/>
              <w:bottom w:val="single" w:color="C9D6E3" w:sz="1"/>
              <w:right w:val="single" w:color="C9D6E3" w:sz="1"/>
            </w:tcBorders>
            <w:shd w:fill="1F2A44" w:val="clear"/>
            <w:tcMar>
              <w:top w:type="dxa" w:w="90"/>
              <w:left w:type="dxa" w:w="130"/>
              <w:bottom w:type="dxa" w:w="90"/>
              <w:right w:type="dxa" w:w="130"/>
            </w:tcMar>
            <w:vAlign w:val="center"/>
          </w:tcPr>
          <w:p>
            <w:r>
              <w:rPr>
                <w:b/>
                <w:bCs/>
                <w:color w:val="FFFFFF"/>
                <w:sz w:val="20"/>
                <w:szCs w:val="20"/>
              </w:rPr>
              <w:t xml:space="preserve">Where it’s set</w:t>
            </w:r>
          </w:p>
        </w:tc>
      </w:tr>
      <w:tr>
        <w:tc>
          <w:tcPr>
            <w:tcW w:type="dxa" w:w="3400"/>
            <w:tcBorders>
              <w:top w:val="single" w:color="C9D6E3" w:sz="1"/>
              <w:left w:val="single" w:color="C9D6E3" w:sz="1"/>
              <w:bottom w:val="single" w:color="C9D6E3" w:sz="1"/>
              <w:right w:val="single" w:color="C9D6E3" w:sz="1"/>
            </w:tcBorders>
            <w:shd w:fill="FFFFFF" w:val="clear"/>
            <w:tcMar>
              <w:top w:type="dxa" w:w="80"/>
              <w:left w:type="dxa" w:w="130"/>
              <w:bottom w:type="dxa" w:w="80"/>
              <w:right w:type="dxa" w:w="130"/>
            </w:tcMar>
            <w:vAlign w:val="center"/>
          </w:tcPr>
          <w:p>
            <w:pPr>
              <w:spacing w:after="0" w:line="252"/>
            </w:pPr>
            <w:r>
              <w:rPr>
                <w:rFonts w:ascii="Consolas" w:cs="Consolas" w:eastAsia="Consolas" w:hAnsi="Consolas"/>
                <w:sz w:val="18"/>
                <w:szCs w:val="18"/>
              </w:rPr>
              <w:t xml:space="preserve">NEXT_PUBLIC_SUPABASE_URL</w:t>
            </w:r>
          </w:p>
        </w:tc>
        <w:tc>
          <w:tcPr>
            <w:tcW w:type="dxa" w:w="3426"/>
            <w:tcBorders>
              <w:top w:val="single" w:color="C9D6E3" w:sz="1"/>
              <w:left w:val="single" w:color="C9D6E3" w:sz="1"/>
              <w:bottom w:val="single" w:color="C9D6E3" w:sz="1"/>
              <w:right w:val="single" w:color="C9D6E3" w:sz="1"/>
            </w:tcBorders>
            <w:shd w:fill="FFFFFF" w:val="clear"/>
            <w:tcMar>
              <w:top w:type="dxa" w:w="80"/>
              <w:left w:type="dxa" w:w="130"/>
              <w:bottom w:type="dxa" w:w="80"/>
              <w:right w:type="dxa" w:w="130"/>
            </w:tcMar>
            <w:vAlign w:val="center"/>
          </w:tcPr>
          <w:p>
            <w:pPr>
              <w:spacing w:after="0" w:line="252"/>
            </w:pPr>
            <w:r>
              <w:rPr>
                <w:sz w:val="20"/>
                <w:szCs w:val="20"/>
              </w:rPr>
              <w:t xml:space="preserve">Supabase project URL</w:t>
            </w:r>
          </w:p>
        </w:tc>
        <w:tc>
          <w:tcPr>
            <w:tcW w:type="dxa" w:w="2200"/>
            <w:tcBorders>
              <w:top w:val="single" w:color="C9D6E3" w:sz="1"/>
              <w:left w:val="single" w:color="C9D6E3" w:sz="1"/>
              <w:bottom w:val="single" w:color="C9D6E3" w:sz="1"/>
              <w:right w:val="single" w:color="C9D6E3" w:sz="1"/>
            </w:tcBorders>
            <w:shd w:fill="FFFFFF" w:val="clear"/>
            <w:tcMar>
              <w:top w:type="dxa" w:w="80"/>
              <w:left w:type="dxa" w:w="130"/>
              <w:bottom w:type="dxa" w:w="80"/>
              <w:right w:type="dxa" w:w="130"/>
            </w:tcMar>
            <w:vAlign w:val="center"/>
          </w:tcPr>
          <w:p>
            <w:pPr>
              <w:spacing w:after="0" w:line="252"/>
            </w:pPr>
            <w:r>
              <w:rPr>
                <w:sz w:val="20"/>
                <w:szCs w:val="20"/>
              </w:rPr>
              <w:t xml:space="preserve">Hosting + .env.local</w:t>
            </w:r>
          </w:p>
        </w:tc>
      </w:tr>
      <w:tr>
        <w:tc>
          <w:tcPr>
            <w:tcW w:type="dxa" w:w="3400"/>
            <w:tcBorders>
              <w:top w:val="single" w:color="C9D6E3" w:sz="1"/>
              <w:left w:val="single" w:color="C9D6E3" w:sz="1"/>
              <w:bottom w:val="single" w:color="C9D6E3" w:sz="1"/>
              <w:right w:val="single" w:color="C9D6E3" w:sz="1"/>
            </w:tcBorders>
            <w:shd w:fill="F6F9FC" w:val="clear"/>
            <w:tcMar>
              <w:top w:type="dxa" w:w="80"/>
              <w:left w:type="dxa" w:w="130"/>
              <w:bottom w:type="dxa" w:w="80"/>
              <w:right w:type="dxa" w:w="130"/>
            </w:tcMar>
            <w:vAlign w:val="center"/>
          </w:tcPr>
          <w:p>
            <w:pPr>
              <w:spacing w:after="0" w:line="252"/>
            </w:pPr>
            <w:r>
              <w:rPr>
                <w:rFonts w:ascii="Consolas" w:cs="Consolas" w:eastAsia="Consolas" w:hAnsi="Consolas"/>
                <w:sz w:val="18"/>
                <w:szCs w:val="18"/>
              </w:rPr>
              <w:t xml:space="preserve">NEXT_PUBLIC_SUPABASE_ANON_KEY</w:t>
            </w:r>
          </w:p>
        </w:tc>
        <w:tc>
          <w:tcPr>
            <w:tcW w:type="dxa" w:w="3426"/>
            <w:tcBorders>
              <w:top w:val="single" w:color="C9D6E3" w:sz="1"/>
              <w:left w:val="single" w:color="C9D6E3" w:sz="1"/>
              <w:bottom w:val="single" w:color="C9D6E3" w:sz="1"/>
              <w:right w:val="single" w:color="C9D6E3" w:sz="1"/>
            </w:tcBorders>
            <w:shd w:fill="F6F9FC" w:val="clear"/>
            <w:tcMar>
              <w:top w:type="dxa" w:w="80"/>
              <w:left w:type="dxa" w:w="130"/>
              <w:bottom w:type="dxa" w:w="80"/>
              <w:right w:type="dxa" w:w="130"/>
            </w:tcMar>
            <w:vAlign w:val="center"/>
          </w:tcPr>
          <w:p>
            <w:pPr>
              <w:spacing w:after="0" w:line="252"/>
            </w:pPr>
            <w:r>
              <w:rPr>
                <w:sz w:val="20"/>
                <w:szCs w:val="20"/>
              </w:rPr>
              <w:t xml:space="preserve">Public Supabase key (client)</w:t>
            </w:r>
          </w:p>
        </w:tc>
        <w:tc>
          <w:tcPr>
            <w:tcW w:type="dxa" w:w="2200"/>
            <w:tcBorders>
              <w:top w:val="single" w:color="C9D6E3" w:sz="1"/>
              <w:left w:val="single" w:color="C9D6E3" w:sz="1"/>
              <w:bottom w:val="single" w:color="C9D6E3" w:sz="1"/>
              <w:right w:val="single" w:color="C9D6E3" w:sz="1"/>
            </w:tcBorders>
            <w:shd w:fill="F6F9FC" w:val="clear"/>
            <w:tcMar>
              <w:top w:type="dxa" w:w="80"/>
              <w:left w:type="dxa" w:w="130"/>
              <w:bottom w:type="dxa" w:w="80"/>
              <w:right w:type="dxa" w:w="130"/>
            </w:tcMar>
            <w:vAlign w:val="center"/>
          </w:tcPr>
          <w:p>
            <w:pPr>
              <w:spacing w:after="0" w:line="252"/>
            </w:pPr>
            <w:r>
              <w:rPr>
                <w:sz w:val="20"/>
                <w:szCs w:val="20"/>
              </w:rPr>
              <w:t xml:space="preserve">Hosting + .env.local</w:t>
            </w:r>
          </w:p>
        </w:tc>
      </w:tr>
      <w:tr>
        <w:tc>
          <w:tcPr>
            <w:tcW w:type="dxa" w:w="3400"/>
            <w:tcBorders>
              <w:top w:val="single" w:color="C9D6E3" w:sz="1"/>
              <w:left w:val="single" w:color="C9D6E3" w:sz="1"/>
              <w:bottom w:val="single" w:color="C9D6E3" w:sz="1"/>
              <w:right w:val="single" w:color="C9D6E3" w:sz="1"/>
            </w:tcBorders>
            <w:shd w:fill="FFFFFF" w:val="clear"/>
            <w:tcMar>
              <w:top w:type="dxa" w:w="80"/>
              <w:left w:type="dxa" w:w="130"/>
              <w:bottom w:type="dxa" w:w="80"/>
              <w:right w:type="dxa" w:w="130"/>
            </w:tcMar>
            <w:vAlign w:val="center"/>
          </w:tcPr>
          <w:p>
            <w:pPr>
              <w:spacing w:after="0" w:line="252"/>
            </w:pPr>
            <w:r>
              <w:rPr>
                <w:rFonts w:ascii="Consolas" w:cs="Consolas" w:eastAsia="Consolas" w:hAnsi="Consolas"/>
                <w:sz w:val="18"/>
                <w:szCs w:val="18"/>
              </w:rPr>
              <w:t xml:space="preserve">SUPABASE_SERVICE_ROLE_KEY</w:t>
            </w:r>
          </w:p>
        </w:tc>
        <w:tc>
          <w:tcPr>
            <w:tcW w:type="dxa" w:w="3426"/>
            <w:tcBorders>
              <w:top w:val="single" w:color="C9D6E3" w:sz="1"/>
              <w:left w:val="single" w:color="C9D6E3" w:sz="1"/>
              <w:bottom w:val="single" w:color="C9D6E3" w:sz="1"/>
              <w:right w:val="single" w:color="C9D6E3" w:sz="1"/>
            </w:tcBorders>
            <w:shd w:fill="FFFFFF" w:val="clear"/>
            <w:tcMar>
              <w:top w:type="dxa" w:w="80"/>
              <w:left w:type="dxa" w:w="130"/>
              <w:bottom w:type="dxa" w:w="80"/>
              <w:right w:type="dxa" w:w="130"/>
            </w:tcMar>
            <w:vAlign w:val="center"/>
          </w:tcPr>
          <w:p>
            <w:pPr>
              <w:spacing w:after="0" w:line="252"/>
            </w:pPr>
            <w:r>
              <w:rPr>
                <w:sz w:val="20"/>
                <w:szCs w:val="20"/>
              </w:rPr>
              <w:t xml:space="preserve">Server-side privileged key — secret</w:t>
            </w:r>
          </w:p>
        </w:tc>
        <w:tc>
          <w:tcPr>
            <w:tcW w:type="dxa" w:w="2200"/>
            <w:tcBorders>
              <w:top w:val="single" w:color="C9D6E3" w:sz="1"/>
              <w:left w:val="single" w:color="C9D6E3" w:sz="1"/>
              <w:bottom w:val="single" w:color="C9D6E3" w:sz="1"/>
              <w:right w:val="single" w:color="C9D6E3" w:sz="1"/>
            </w:tcBorders>
            <w:shd w:fill="FFFFFF" w:val="clear"/>
            <w:tcMar>
              <w:top w:type="dxa" w:w="80"/>
              <w:left w:type="dxa" w:w="130"/>
              <w:bottom w:type="dxa" w:w="80"/>
              <w:right w:type="dxa" w:w="130"/>
            </w:tcMar>
            <w:vAlign w:val="center"/>
          </w:tcPr>
          <w:p>
            <w:pPr>
              <w:spacing w:after="0" w:line="252"/>
            </w:pPr>
            <w:r>
              <w:rPr>
                <w:sz w:val="20"/>
                <w:szCs w:val="20"/>
              </w:rPr>
              <w:t xml:space="preserve">Hosting only (never client)</w:t>
            </w:r>
          </w:p>
        </w:tc>
      </w:tr>
      <w:tr>
        <w:tc>
          <w:tcPr>
            <w:tcW w:type="dxa" w:w="3400"/>
            <w:tcBorders>
              <w:top w:val="single" w:color="C9D6E3" w:sz="1"/>
              <w:left w:val="single" w:color="C9D6E3" w:sz="1"/>
              <w:bottom w:val="single" w:color="C9D6E3" w:sz="1"/>
              <w:right w:val="single" w:color="C9D6E3" w:sz="1"/>
            </w:tcBorders>
            <w:shd w:fill="F6F9FC" w:val="clear"/>
            <w:tcMar>
              <w:top w:type="dxa" w:w="80"/>
              <w:left w:type="dxa" w:w="130"/>
              <w:bottom w:type="dxa" w:w="80"/>
              <w:right w:type="dxa" w:w="130"/>
            </w:tcMar>
            <w:vAlign w:val="center"/>
          </w:tcPr>
          <w:p>
            <w:pPr>
              <w:spacing w:after="0" w:line="252"/>
            </w:pPr>
            <w:r>
              <w:rPr>
                <w:rFonts w:ascii="Consolas" w:cs="Consolas" w:eastAsia="Consolas" w:hAnsi="Consolas"/>
                <w:i/>
                <w:iCs/>
                <w:color w:val="B8860B"/>
                <w:sz w:val="18"/>
                <w:szCs w:val="18"/>
              </w:rPr>
              <w:t xml:space="preserve">[IPG_API_KEY / MERCHANT_ID]</w:t>
            </w:r>
          </w:p>
        </w:tc>
        <w:tc>
          <w:tcPr>
            <w:tcW w:type="dxa" w:w="3426"/>
            <w:tcBorders>
              <w:top w:val="single" w:color="C9D6E3" w:sz="1"/>
              <w:left w:val="single" w:color="C9D6E3" w:sz="1"/>
              <w:bottom w:val="single" w:color="C9D6E3" w:sz="1"/>
              <w:right w:val="single" w:color="C9D6E3" w:sz="1"/>
            </w:tcBorders>
            <w:shd w:fill="F6F9FC" w:val="clear"/>
            <w:tcMar>
              <w:top w:type="dxa" w:w="80"/>
              <w:left w:type="dxa" w:w="130"/>
              <w:bottom w:type="dxa" w:w="80"/>
              <w:right w:type="dxa" w:w="130"/>
            </w:tcMar>
            <w:vAlign w:val="center"/>
          </w:tcPr>
          <w:p>
            <w:pPr>
              <w:spacing w:after="0" w:line="252"/>
            </w:pPr>
            <w:r>
              <w:rPr>
                <w:sz w:val="20"/>
                <w:szCs w:val="20"/>
              </w:rPr>
              <w:t xml:space="preserve">Payment gateway credentials</w:t>
            </w:r>
          </w:p>
        </w:tc>
        <w:tc>
          <w:tcPr>
            <w:tcW w:type="dxa" w:w="2200"/>
            <w:tcBorders>
              <w:top w:val="single" w:color="C9D6E3" w:sz="1"/>
              <w:left w:val="single" w:color="C9D6E3" w:sz="1"/>
              <w:bottom w:val="single" w:color="C9D6E3" w:sz="1"/>
              <w:right w:val="single" w:color="C9D6E3" w:sz="1"/>
            </w:tcBorders>
            <w:shd w:fill="F6F9FC" w:val="clear"/>
            <w:tcMar>
              <w:top w:type="dxa" w:w="80"/>
              <w:left w:type="dxa" w:w="130"/>
              <w:bottom w:type="dxa" w:w="80"/>
              <w:right w:type="dxa" w:w="130"/>
            </w:tcMar>
            <w:vAlign w:val="center"/>
          </w:tcPr>
          <w:p>
            <w:pPr>
              <w:spacing w:after="0" w:line="252"/>
            </w:pPr>
            <w:r>
              <w:rPr>
                <w:sz w:val="20"/>
                <w:szCs w:val="20"/>
              </w:rPr>
              <w:t xml:space="preserve">Hosting only</w:t>
            </w:r>
          </w:p>
        </w:tc>
      </w:tr>
      <w:tr>
        <w:tc>
          <w:tcPr>
            <w:tcW w:type="dxa" w:w="3400"/>
            <w:tcBorders>
              <w:top w:val="single" w:color="C9D6E3" w:sz="1"/>
              <w:left w:val="single" w:color="C9D6E3" w:sz="1"/>
              <w:bottom w:val="single" w:color="C9D6E3" w:sz="1"/>
              <w:right w:val="single" w:color="C9D6E3" w:sz="1"/>
            </w:tcBorders>
            <w:shd w:fill="FFFFFF" w:val="clear"/>
            <w:tcMar>
              <w:top w:type="dxa" w:w="80"/>
              <w:left w:type="dxa" w:w="130"/>
              <w:bottom w:type="dxa" w:w="80"/>
              <w:right w:type="dxa" w:w="130"/>
            </w:tcMar>
            <w:vAlign w:val="center"/>
          </w:tcPr>
          <w:p>
            <w:pPr>
              <w:spacing w:after="0" w:line="252"/>
            </w:pPr>
            <w:r>
              <w:rPr>
                <w:rFonts w:ascii="Consolas" w:cs="Consolas" w:eastAsia="Consolas" w:hAnsi="Consolas"/>
                <w:i/>
                <w:iCs/>
                <w:color w:val="B8860B"/>
                <w:sz w:val="18"/>
                <w:szCs w:val="18"/>
              </w:rPr>
              <w:t xml:space="preserve">[SMS_API_KEY]</w:t>
            </w:r>
          </w:p>
        </w:tc>
        <w:tc>
          <w:tcPr>
            <w:tcW w:type="dxa" w:w="3426"/>
            <w:tcBorders>
              <w:top w:val="single" w:color="C9D6E3" w:sz="1"/>
              <w:left w:val="single" w:color="C9D6E3" w:sz="1"/>
              <w:bottom w:val="single" w:color="C9D6E3" w:sz="1"/>
              <w:right w:val="single" w:color="C9D6E3" w:sz="1"/>
            </w:tcBorders>
            <w:shd w:fill="FFFFFF" w:val="clear"/>
            <w:tcMar>
              <w:top w:type="dxa" w:w="80"/>
              <w:left w:type="dxa" w:w="130"/>
              <w:bottom w:type="dxa" w:w="80"/>
              <w:right w:type="dxa" w:w="130"/>
            </w:tcMar>
            <w:vAlign w:val="center"/>
          </w:tcPr>
          <w:p>
            <w:pPr>
              <w:spacing w:after="0" w:line="252"/>
            </w:pPr>
            <w:r>
              <w:rPr>
                <w:sz w:val="20"/>
                <w:szCs w:val="20"/>
              </w:rPr>
              <w:t xml:space="preserve">SMS provider (future phase)</w:t>
            </w:r>
          </w:p>
        </w:tc>
        <w:tc>
          <w:tcPr>
            <w:tcW w:type="dxa" w:w="2200"/>
            <w:tcBorders>
              <w:top w:val="single" w:color="C9D6E3" w:sz="1"/>
              <w:left w:val="single" w:color="C9D6E3" w:sz="1"/>
              <w:bottom w:val="single" w:color="C9D6E3" w:sz="1"/>
              <w:right w:val="single" w:color="C9D6E3" w:sz="1"/>
            </w:tcBorders>
            <w:shd w:fill="FFFFFF" w:val="clear"/>
            <w:tcMar>
              <w:top w:type="dxa" w:w="80"/>
              <w:left w:type="dxa" w:w="130"/>
              <w:bottom w:type="dxa" w:w="80"/>
              <w:right w:type="dxa" w:w="130"/>
            </w:tcMar>
            <w:vAlign w:val="center"/>
          </w:tcPr>
          <w:p>
            <w:pPr>
              <w:spacing w:after="0" w:line="252"/>
            </w:pPr>
            <w:r>
              <w:rPr>
                <w:sz w:val="20"/>
                <w:szCs w:val="20"/>
              </w:rPr>
              <w:t xml:space="preserve">Hosting only</w:t>
            </w:r>
          </w:p>
        </w:tc>
      </w:tr>
      <w:tr>
        <w:tc>
          <w:tcPr>
            <w:tcW w:type="dxa" w:w="3400"/>
            <w:tcBorders>
              <w:top w:val="single" w:color="C9D6E3" w:sz="1"/>
              <w:left w:val="single" w:color="C9D6E3" w:sz="1"/>
              <w:bottom w:val="single" w:color="C9D6E3" w:sz="1"/>
              <w:right w:val="single" w:color="C9D6E3" w:sz="1"/>
            </w:tcBorders>
            <w:shd w:fill="F6F9FC" w:val="clear"/>
            <w:tcMar>
              <w:top w:type="dxa" w:w="80"/>
              <w:left w:type="dxa" w:w="130"/>
              <w:bottom w:type="dxa" w:w="80"/>
              <w:right w:type="dxa" w:w="130"/>
            </w:tcMar>
            <w:vAlign w:val="center"/>
          </w:tcPr>
          <w:p>
            <w:pPr>
              <w:spacing w:after="0" w:line="252"/>
            </w:pPr>
            <w:r>
              <w:rPr>
                <w:rFonts w:ascii="Consolas" w:cs="Consolas" w:eastAsia="Consolas" w:hAnsi="Consolas"/>
                <w:i/>
                <w:iCs/>
                <w:color w:val="B8860B"/>
                <w:sz w:val="18"/>
                <w:szCs w:val="18"/>
              </w:rPr>
              <w:t xml:space="preserve">[ADD OTHERS]</w:t>
            </w:r>
          </w:p>
        </w:tc>
        <w:tc>
          <w:tcPr>
            <w:tcW w:type="dxa" w:w="3426"/>
            <w:tcBorders>
              <w:top w:val="single" w:color="C9D6E3" w:sz="1"/>
              <w:left w:val="single" w:color="C9D6E3" w:sz="1"/>
              <w:bottom w:val="single" w:color="C9D6E3" w:sz="1"/>
              <w:right w:val="single" w:color="C9D6E3" w:sz="1"/>
            </w:tcBorders>
            <w:shd w:fill="F6F9FC" w:val="clear"/>
            <w:tcMar>
              <w:top w:type="dxa" w:w="80"/>
              <w:left w:type="dxa" w:w="130"/>
              <w:bottom w:type="dxa" w:w="80"/>
              <w:right w:type="dxa" w:w="130"/>
            </w:tcMar>
            <w:vAlign w:val="center"/>
          </w:tcPr>
          <w:p>
            <w:pPr>
              <w:spacing w:after="0" w:line="252"/>
            </w:pPr>
            <w:r>
              <w:rPr>
                <w:sz w:val="20"/>
                <w:szCs w:val="20"/>
              </w:rPr>
              <w:t xml:space="preserve">List every remaining variable</w:t>
            </w:r>
          </w:p>
        </w:tc>
        <w:tc>
          <w:tcPr>
            <w:tcW w:type="dxa" w:w="2200"/>
            <w:tcBorders>
              <w:top w:val="single" w:color="C9D6E3" w:sz="1"/>
              <w:left w:val="single" w:color="C9D6E3" w:sz="1"/>
              <w:bottom w:val="single" w:color="C9D6E3" w:sz="1"/>
              <w:right w:val="single" w:color="C9D6E3" w:sz="1"/>
            </w:tcBorders>
            <w:shd w:fill="F6F9FC" w:val="clear"/>
            <w:tcMar>
              <w:top w:type="dxa" w:w="80"/>
              <w:left w:type="dxa" w:w="130"/>
              <w:bottom w:type="dxa" w:w="80"/>
              <w:right w:type="dxa" w:w="130"/>
            </w:tcMar>
            <w:vAlign w:val="center"/>
          </w:tcPr>
          <w:p>
            <w:pPr>
              <w:spacing w:after="0" w:line="252"/>
            </w:pPr>
            <w:r>
              <w:rPr>
                <w:sz w:val="20"/>
                <w:szCs w:val="20"/>
              </w:rPr>
              <w:t xml:space="preserve">—</w:t>
            </w:r>
          </w:p>
        </w:tc>
      </w:tr>
    </w:tbl>
    <w:p>
      <w:pPr>
        <w:spacing w:after="120"/>
      </w:pPr>
      <w:r>
        <w:t xml:space="preserve"/>
      </w:r>
    </w:p>
    <w:tbl>
      <w:tblPr>
        <w:tblW w:type="dxa" w:w="9026"/>
        <w:tblBorders>
          <w:top w:val="single" w:color="EEF3F9" w:sz="2"/>
          <w:left w:val="single" w:color="B8860B" w:sz="24"/>
          <w:bottom w:val="single" w:color="EEF3F9" w:sz="2"/>
          <w:right w:val="single" w:color="EEF3F9" w:sz="2"/>
          <w:insideH w:val="single" w:color="auto" w:sz="4"/>
          <w:insideV w:val="single" w:color="auto" w:sz="4"/>
        </w:tblBorders>
      </w:tblPr>
      <w:tblGrid>
        <w:gridCol w:w="9026"/>
      </w:tblGrid>
      <w:tr>
        <w:tc>
          <w:tcPr>
            <w:tcW w:type="dxa" w:w="9026"/>
            <w:shd w:fill="EEF3F9" w:val="clear"/>
            <w:tcMar>
              <w:top w:type="dxa" w:w="130"/>
              <w:left w:type="dxa" w:w="200"/>
              <w:bottom w:type="dxa" w:w="130"/>
              <w:right w:type="dxa" w:w="160"/>
            </w:tcMar>
          </w:tcPr>
          <w:p>
            <w:pPr>
              <w:spacing w:after="80"/>
            </w:pPr>
            <w:r>
              <w:rPr>
                <w:b/>
                <w:bCs/>
                <w:color w:val="1F2A44"/>
              </w:rPr>
              <w:t xml:space="preserve">Security</w:t>
            </w:r>
          </w:p>
          <w:p>
            <w:pPr>
              <w:spacing w:after="70" w:line="258"/>
            </w:pPr>
            <w:r>
              <w:t xml:space="preserve">Anything prefixed NEXT_PUBLIC_ is exposed to the browser — never put secrets behind that prefix.</w:t>
            </w:r>
          </w:p>
          <w:p>
            <w:pPr>
              <w:spacing w:after="0" w:line="258"/>
            </w:pPr>
            <w:r>
              <w:t xml:space="preserve">The Supabase service-role key and IPG keys are highly sensitive. They must only exist server-side.</w:t>
            </w:r>
          </w:p>
        </w:tc>
      </w:tr>
    </w:tbl>
    <w:p>
      <w:pPr>
        <w:pStyle w:val="Heading1"/>
      </w:pPr>
      <w:r>
        <w:t xml:space="preserve">8.  Database Schema</w:t>
      </w:r>
    </w:p>
    <w:p>
      <w:pPr>
        <w:spacing w:after="120" w:line="264"/>
      </w:pPr>
      <w:r>
        <w:t xml:space="preserve">The database stores all dynamic content and customer data. Document each table, its key columns, and relationships. Keep this in sync with your migrations — it is the fastest way for a new developer to understand the data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26"/>
        <w:gridCol w:w="3000"/>
      </w:tblGrid>
      <w:tr>
        <w:trPr>
          <w:tblHeader/>
        </w:trPr>
        <w:tc>
          <w:tcPr>
            <w:tcW w:type="dxa" w:w="2200"/>
            <w:tcBorders>
              <w:top w:val="single" w:color="C9D6E3" w:sz="1"/>
              <w:left w:val="single" w:color="C9D6E3" w:sz="1"/>
              <w:bottom w:val="single" w:color="C9D6E3" w:sz="1"/>
              <w:right w:val="single" w:color="C9D6E3" w:sz="1"/>
            </w:tcBorders>
            <w:shd w:fill="1F2A44" w:val="clear"/>
            <w:tcMar>
              <w:top w:type="dxa" w:w="90"/>
              <w:left w:type="dxa" w:w="130"/>
              <w:bottom w:type="dxa" w:w="90"/>
              <w:right w:type="dxa" w:w="130"/>
            </w:tcMar>
            <w:vAlign w:val="center"/>
          </w:tcPr>
          <w:p>
            <w:r>
              <w:rPr>
                <w:b/>
                <w:bCs/>
                <w:color w:val="FFFFFF"/>
                <w:sz w:val="20"/>
                <w:szCs w:val="20"/>
              </w:rPr>
              <w:t xml:space="preserve">Table</w:t>
            </w:r>
          </w:p>
        </w:tc>
        <w:tc>
          <w:tcPr>
            <w:tcW w:type="dxa" w:w="3826"/>
            <w:tcBorders>
              <w:top w:val="single" w:color="C9D6E3" w:sz="1"/>
              <w:left w:val="single" w:color="C9D6E3" w:sz="1"/>
              <w:bottom w:val="single" w:color="C9D6E3" w:sz="1"/>
              <w:right w:val="single" w:color="C9D6E3" w:sz="1"/>
            </w:tcBorders>
            <w:shd w:fill="1F2A44" w:val="clear"/>
            <w:tcMar>
              <w:top w:type="dxa" w:w="90"/>
              <w:left w:type="dxa" w:w="130"/>
              <w:bottom w:type="dxa" w:w="90"/>
              <w:right w:type="dxa" w:w="130"/>
            </w:tcMar>
            <w:vAlign w:val="center"/>
          </w:tcPr>
          <w:p>
            <w:r>
              <w:rPr>
                <w:b/>
                <w:bCs/>
                <w:color w:val="FFFFFF"/>
                <w:sz w:val="20"/>
                <w:szCs w:val="20"/>
              </w:rPr>
              <w:t xml:space="preserve">Purpose</w:t>
            </w:r>
          </w:p>
        </w:tc>
        <w:tc>
          <w:tcPr>
            <w:tcW w:type="dxa" w:w="3000"/>
            <w:tcBorders>
              <w:top w:val="single" w:color="C9D6E3" w:sz="1"/>
              <w:left w:val="single" w:color="C9D6E3" w:sz="1"/>
              <w:bottom w:val="single" w:color="C9D6E3" w:sz="1"/>
              <w:right w:val="single" w:color="C9D6E3" w:sz="1"/>
            </w:tcBorders>
            <w:shd w:fill="1F2A44" w:val="clear"/>
            <w:tcMar>
              <w:top w:type="dxa" w:w="90"/>
              <w:left w:type="dxa" w:w="130"/>
              <w:bottom w:type="dxa" w:w="90"/>
              <w:right w:type="dxa" w:w="130"/>
            </w:tcMar>
            <w:vAlign w:val="center"/>
          </w:tcPr>
          <w:p>
            <w:r>
              <w:rPr>
                <w:b/>
                <w:bCs/>
                <w:color w:val="FFFFFF"/>
                <w:sz w:val="20"/>
                <w:szCs w:val="20"/>
              </w:rPr>
              <w:t xml:space="preserve">Key columns (example)</w:t>
            </w:r>
          </w:p>
        </w:tc>
      </w:tr>
      <w:tr>
        <w:tc>
          <w:tcPr>
            <w:tcW w:type="dxa" w:w="2200"/>
            <w:tcBorders>
              <w:top w:val="single" w:color="C9D6E3" w:sz="1"/>
              <w:left w:val="single" w:color="C9D6E3" w:sz="1"/>
              <w:bottom w:val="single" w:color="C9D6E3" w:sz="1"/>
              <w:right w:val="single" w:color="C9D6E3" w:sz="1"/>
            </w:tcBorders>
            <w:shd w:fill="FFFFFF" w:val="clear"/>
            <w:tcMar>
              <w:top w:type="dxa" w:w="80"/>
              <w:left w:type="dxa" w:w="130"/>
              <w:bottom w:type="dxa" w:w="80"/>
              <w:right w:type="dxa" w:w="130"/>
            </w:tcMar>
            <w:vAlign w:val="center"/>
          </w:tcPr>
          <w:p>
            <w:pPr>
              <w:spacing w:after="0" w:line="252"/>
            </w:pPr>
            <w:r>
              <w:rPr>
                <w:sz w:val="20"/>
                <w:szCs w:val="20"/>
              </w:rPr>
              <w:t xml:space="preserve">packages</w:t>
            </w:r>
          </w:p>
        </w:tc>
        <w:tc>
          <w:tcPr>
            <w:tcW w:type="dxa" w:w="3826"/>
            <w:tcBorders>
              <w:top w:val="single" w:color="C9D6E3" w:sz="1"/>
              <w:left w:val="single" w:color="C9D6E3" w:sz="1"/>
              <w:bottom w:val="single" w:color="C9D6E3" w:sz="1"/>
              <w:right w:val="single" w:color="C9D6E3" w:sz="1"/>
            </w:tcBorders>
            <w:shd w:fill="FFFFFF" w:val="clear"/>
            <w:tcMar>
              <w:top w:type="dxa" w:w="80"/>
              <w:left w:type="dxa" w:w="130"/>
              <w:bottom w:type="dxa" w:w="80"/>
              <w:right w:type="dxa" w:w="130"/>
            </w:tcMar>
            <w:vAlign w:val="center"/>
          </w:tcPr>
          <w:p>
            <w:pPr>
              <w:spacing w:after="0" w:line="252"/>
            </w:pPr>
            <w:r>
              <w:rPr>
                <w:sz w:val="20"/>
                <w:szCs w:val="20"/>
              </w:rPr>
              <w:t xml:space="preserve">Travel/tour packages shown on the site</w:t>
            </w:r>
          </w:p>
        </w:tc>
        <w:tc>
          <w:tcPr>
            <w:tcW w:type="dxa" w:w="3000"/>
            <w:tcBorders>
              <w:top w:val="single" w:color="C9D6E3" w:sz="1"/>
              <w:left w:val="single" w:color="C9D6E3" w:sz="1"/>
              <w:bottom w:val="single" w:color="C9D6E3" w:sz="1"/>
              <w:right w:val="single" w:color="C9D6E3" w:sz="1"/>
            </w:tcBorders>
            <w:shd w:fill="FFFFFF" w:val="clear"/>
            <w:tcMar>
              <w:top w:type="dxa" w:w="80"/>
              <w:left w:type="dxa" w:w="130"/>
              <w:bottom w:type="dxa" w:w="80"/>
              <w:right w:type="dxa" w:w="130"/>
            </w:tcMar>
            <w:vAlign w:val="center"/>
          </w:tcPr>
          <w:p>
            <w:pPr>
              <w:spacing w:after="0" w:line="252"/>
            </w:pPr>
            <w:r>
              <w:rPr>
                <w:sz w:val="20"/>
                <w:szCs w:val="20"/>
              </w:rPr>
              <w:t xml:space="preserve">id, title, price, status, lang</w:t>
            </w:r>
          </w:p>
        </w:tc>
      </w:tr>
      <w:tr>
        <w:tc>
          <w:tcPr>
            <w:tcW w:type="dxa" w:w="2200"/>
            <w:tcBorders>
              <w:top w:val="single" w:color="C9D6E3" w:sz="1"/>
              <w:left w:val="single" w:color="C9D6E3" w:sz="1"/>
              <w:bottom w:val="single" w:color="C9D6E3" w:sz="1"/>
              <w:right w:val="single" w:color="C9D6E3" w:sz="1"/>
            </w:tcBorders>
            <w:shd w:fill="F6F9FC" w:val="clear"/>
            <w:tcMar>
              <w:top w:type="dxa" w:w="80"/>
              <w:left w:type="dxa" w:w="130"/>
              <w:bottom w:type="dxa" w:w="80"/>
              <w:right w:type="dxa" w:w="130"/>
            </w:tcMar>
            <w:vAlign w:val="center"/>
          </w:tcPr>
          <w:p>
            <w:pPr>
              <w:spacing w:after="0" w:line="252"/>
            </w:pPr>
            <w:r>
              <w:rPr>
                <w:sz w:val="20"/>
                <w:szCs w:val="20"/>
              </w:rPr>
              <w:t xml:space="preserve">bookings</w:t>
            </w:r>
          </w:p>
        </w:tc>
        <w:tc>
          <w:tcPr>
            <w:tcW w:type="dxa" w:w="3826"/>
            <w:tcBorders>
              <w:top w:val="single" w:color="C9D6E3" w:sz="1"/>
              <w:left w:val="single" w:color="C9D6E3" w:sz="1"/>
              <w:bottom w:val="single" w:color="C9D6E3" w:sz="1"/>
              <w:right w:val="single" w:color="C9D6E3" w:sz="1"/>
            </w:tcBorders>
            <w:shd w:fill="F6F9FC" w:val="clear"/>
            <w:tcMar>
              <w:top w:type="dxa" w:w="80"/>
              <w:left w:type="dxa" w:w="130"/>
              <w:bottom w:type="dxa" w:w="80"/>
              <w:right w:type="dxa" w:w="130"/>
            </w:tcMar>
            <w:vAlign w:val="center"/>
          </w:tcPr>
          <w:p>
            <w:pPr>
              <w:spacing w:after="0" w:line="252"/>
            </w:pPr>
            <w:r>
              <w:rPr>
                <w:sz w:val="20"/>
                <w:szCs w:val="20"/>
              </w:rPr>
              <w:t xml:space="preserve">Customer bookings</w:t>
            </w:r>
          </w:p>
        </w:tc>
        <w:tc>
          <w:tcPr>
            <w:tcW w:type="dxa" w:w="3000"/>
            <w:tcBorders>
              <w:top w:val="single" w:color="C9D6E3" w:sz="1"/>
              <w:left w:val="single" w:color="C9D6E3" w:sz="1"/>
              <w:bottom w:val="single" w:color="C9D6E3" w:sz="1"/>
              <w:right w:val="single" w:color="C9D6E3" w:sz="1"/>
            </w:tcBorders>
            <w:shd w:fill="F6F9FC" w:val="clear"/>
            <w:tcMar>
              <w:top w:type="dxa" w:w="80"/>
              <w:left w:type="dxa" w:w="130"/>
              <w:bottom w:type="dxa" w:w="80"/>
              <w:right w:type="dxa" w:w="130"/>
            </w:tcMar>
            <w:vAlign w:val="center"/>
          </w:tcPr>
          <w:p>
            <w:pPr>
              <w:spacing w:after="0" w:line="252"/>
            </w:pPr>
            <w:r>
              <w:rPr>
                <w:sz w:val="20"/>
                <w:szCs w:val="20"/>
              </w:rPr>
              <w:t xml:space="preserve">id, package_id, customer, status, dates</w:t>
            </w:r>
          </w:p>
        </w:tc>
      </w:tr>
      <w:tr>
        <w:tc>
          <w:tcPr>
            <w:tcW w:type="dxa" w:w="2200"/>
            <w:tcBorders>
              <w:top w:val="single" w:color="C9D6E3" w:sz="1"/>
              <w:left w:val="single" w:color="C9D6E3" w:sz="1"/>
              <w:bottom w:val="single" w:color="C9D6E3" w:sz="1"/>
              <w:right w:val="single" w:color="C9D6E3" w:sz="1"/>
            </w:tcBorders>
            <w:shd w:fill="FFFFFF" w:val="clear"/>
            <w:tcMar>
              <w:top w:type="dxa" w:w="80"/>
              <w:left w:type="dxa" w:w="130"/>
              <w:bottom w:type="dxa" w:w="80"/>
              <w:right w:type="dxa" w:w="130"/>
            </w:tcMar>
            <w:vAlign w:val="center"/>
          </w:tcPr>
          <w:p>
            <w:pPr>
              <w:spacing w:after="0" w:line="252"/>
            </w:pPr>
            <w:r>
              <w:rPr>
                <w:sz w:val="20"/>
                <w:szCs w:val="20"/>
              </w:rPr>
              <w:t xml:space="preserve">enquiries</w:t>
            </w:r>
          </w:p>
        </w:tc>
        <w:tc>
          <w:tcPr>
            <w:tcW w:type="dxa" w:w="3826"/>
            <w:tcBorders>
              <w:top w:val="single" w:color="C9D6E3" w:sz="1"/>
              <w:left w:val="single" w:color="C9D6E3" w:sz="1"/>
              <w:bottom w:val="single" w:color="C9D6E3" w:sz="1"/>
              <w:right w:val="single" w:color="C9D6E3" w:sz="1"/>
            </w:tcBorders>
            <w:shd w:fill="FFFFFF" w:val="clear"/>
            <w:tcMar>
              <w:top w:type="dxa" w:w="80"/>
              <w:left w:type="dxa" w:w="130"/>
              <w:bottom w:type="dxa" w:w="80"/>
              <w:right w:type="dxa" w:w="130"/>
            </w:tcMar>
            <w:vAlign w:val="center"/>
          </w:tcPr>
          <w:p>
            <w:pPr>
              <w:spacing w:after="0" w:line="252"/>
            </w:pPr>
            <w:r>
              <w:rPr>
                <w:sz w:val="20"/>
                <w:szCs w:val="20"/>
              </w:rPr>
              <w:t xml:space="preserve">Contact-form submissions</w:t>
            </w:r>
          </w:p>
        </w:tc>
        <w:tc>
          <w:tcPr>
            <w:tcW w:type="dxa" w:w="3000"/>
            <w:tcBorders>
              <w:top w:val="single" w:color="C9D6E3" w:sz="1"/>
              <w:left w:val="single" w:color="C9D6E3" w:sz="1"/>
              <w:bottom w:val="single" w:color="C9D6E3" w:sz="1"/>
              <w:right w:val="single" w:color="C9D6E3" w:sz="1"/>
            </w:tcBorders>
            <w:shd w:fill="FFFFFF" w:val="clear"/>
            <w:tcMar>
              <w:top w:type="dxa" w:w="80"/>
              <w:left w:type="dxa" w:w="130"/>
              <w:bottom w:type="dxa" w:w="80"/>
              <w:right w:type="dxa" w:w="130"/>
            </w:tcMar>
            <w:vAlign w:val="center"/>
          </w:tcPr>
          <w:p>
            <w:pPr>
              <w:spacing w:after="0" w:line="252"/>
            </w:pPr>
            <w:r>
              <w:rPr>
                <w:sz w:val="20"/>
                <w:szCs w:val="20"/>
              </w:rPr>
              <w:t xml:space="preserve">id, name, email, message, status</w:t>
            </w:r>
          </w:p>
        </w:tc>
      </w:tr>
      <w:tr>
        <w:tc>
          <w:tcPr>
            <w:tcW w:type="dxa" w:w="2200"/>
            <w:tcBorders>
              <w:top w:val="single" w:color="C9D6E3" w:sz="1"/>
              <w:left w:val="single" w:color="C9D6E3" w:sz="1"/>
              <w:bottom w:val="single" w:color="C9D6E3" w:sz="1"/>
              <w:right w:val="single" w:color="C9D6E3" w:sz="1"/>
            </w:tcBorders>
            <w:shd w:fill="F6F9FC" w:val="clear"/>
            <w:tcMar>
              <w:top w:type="dxa" w:w="80"/>
              <w:left w:type="dxa" w:w="130"/>
              <w:bottom w:type="dxa" w:w="80"/>
              <w:right w:type="dxa" w:w="130"/>
            </w:tcMar>
            <w:vAlign w:val="center"/>
          </w:tcPr>
          <w:p>
            <w:pPr>
              <w:spacing w:after="0" w:line="252"/>
            </w:pPr>
            <w:r>
              <w:rPr>
                <w:sz w:val="20"/>
                <w:szCs w:val="20"/>
              </w:rPr>
              <w:t xml:space="preserve">users / admins</w:t>
            </w:r>
          </w:p>
        </w:tc>
        <w:tc>
          <w:tcPr>
            <w:tcW w:type="dxa" w:w="3826"/>
            <w:tcBorders>
              <w:top w:val="single" w:color="C9D6E3" w:sz="1"/>
              <w:left w:val="single" w:color="C9D6E3" w:sz="1"/>
              <w:bottom w:val="single" w:color="C9D6E3" w:sz="1"/>
              <w:right w:val="single" w:color="C9D6E3" w:sz="1"/>
            </w:tcBorders>
            <w:shd w:fill="F6F9FC" w:val="clear"/>
            <w:tcMar>
              <w:top w:type="dxa" w:w="80"/>
              <w:left w:type="dxa" w:w="130"/>
              <w:bottom w:type="dxa" w:w="80"/>
              <w:right w:type="dxa" w:w="130"/>
            </w:tcMar>
            <w:vAlign w:val="center"/>
          </w:tcPr>
          <w:p>
            <w:pPr>
              <w:spacing w:after="0" w:line="252"/>
            </w:pPr>
            <w:r>
              <w:rPr>
                <w:sz w:val="20"/>
                <w:szCs w:val="20"/>
              </w:rPr>
              <w:t xml:space="preserve">Admin panel accounts</w:t>
            </w:r>
          </w:p>
        </w:tc>
        <w:tc>
          <w:tcPr>
            <w:tcW w:type="dxa" w:w="3000"/>
            <w:tcBorders>
              <w:top w:val="single" w:color="C9D6E3" w:sz="1"/>
              <w:left w:val="single" w:color="C9D6E3" w:sz="1"/>
              <w:bottom w:val="single" w:color="C9D6E3" w:sz="1"/>
              <w:right w:val="single" w:color="C9D6E3" w:sz="1"/>
            </w:tcBorders>
            <w:shd w:fill="F6F9FC" w:val="clear"/>
            <w:tcMar>
              <w:top w:type="dxa" w:w="80"/>
              <w:left w:type="dxa" w:w="130"/>
              <w:bottom w:type="dxa" w:w="80"/>
              <w:right w:type="dxa" w:w="130"/>
            </w:tcMar>
            <w:vAlign w:val="center"/>
          </w:tcPr>
          <w:p>
            <w:pPr>
              <w:spacing w:after="0" w:line="252"/>
            </w:pPr>
            <w:r>
              <w:rPr>
                <w:sz w:val="20"/>
                <w:szCs w:val="20"/>
              </w:rPr>
              <w:t xml:space="preserve">id, email, role</w:t>
            </w:r>
          </w:p>
        </w:tc>
      </w:tr>
      <w:tr>
        <w:tc>
          <w:tcPr>
            <w:tcW w:type="dxa" w:w="2200"/>
            <w:tcBorders>
              <w:top w:val="single" w:color="C9D6E3" w:sz="1"/>
              <w:left w:val="single" w:color="C9D6E3" w:sz="1"/>
              <w:bottom w:val="single" w:color="C9D6E3" w:sz="1"/>
              <w:right w:val="single" w:color="C9D6E3" w:sz="1"/>
            </w:tcBorders>
            <w:shd w:fill="FFFFFF" w:val="clear"/>
            <w:tcMar>
              <w:top w:type="dxa" w:w="80"/>
              <w:left w:type="dxa" w:w="130"/>
              <w:bottom w:type="dxa" w:w="80"/>
              <w:right w:type="dxa" w:w="130"/>
            </w:tcMar>
            <w:vAlign w:val="center"/>
          </w:tcPr>
          <w:p>
            <w:pPr>
              <w:spacing w:after="0" w:line="252"/>
            </w:pPr>
            <w:r>
              <w:rPr>
                <w:sz w:val="20"/>
                <w:szCs w:val="20"/>
              </w:rPr>
              <w:t xml:space="preserve">translations</w:t>
            </w:r>
          </w:p>
        </w:tc>
        <w:tc>
          <w:tcPr>
            <w:tcW w:type="dxa" w:w="3826"/>
            <w:tcBorders>
              <w:top w:val="single" w:color="C9D6E3" w:sz="1"/>
              <w:left w:val="single" w:color="C9D6E3" w:sz="1"/>
              <w:bottom w:val="single" w:color="C9D6E3" w:sz="1"/>
              <w:right w:val="single" w:color="C9D6E3" w:sz="1"/>
            </w:tcBorders>
            <w:shd w:fill="FFFFFF" w:val="clear"/>
            <w:tcMar>
              <w:top w:type="dxa" w:w="80"/>
              <w:left w:type="dxa" w:w="130"/>
              <w:bottom w:type="dxa" w:w="80"/>
              <w:right w:type="dxa" w:w="130"/>
            </w:tcMar>
            <w:vAlign w:val="center"/>
          </w:tcPr>
          <w:p>
            <w:pPr>
              <w:spacing w:after="0" w:line="252"/>
            </w:pPr>
            <w:r>
              <w:rPr>
                <w:sz w:val="20"/>
                <w:szCs w:val="20"/>
              </w:rPr>
              <w:t xml:space="preserve">Language content (if separate)</w:t>
            </w:r>
          </w:p>
        </w:tc>
        <w:tc>
          <w:tcPr>
            <w:tcW w:type="dxa" w:w="3000"/>
            <w:tcBorders>
              <w:top w:val="single" w:color="C9D6E3" w:sz="1"/>
              <w:left w:val="single" w:color="C9D6E3" w:sz="1"/>
              <w:bottom w:val="single" w:color="C9D6E3" w:sz="1"/>
              <w:right w:val="single" w:color="C9D6E3" w:sz="1"/>
            </w:tcBorders>
            <w:shd w:fill="FFFFFF" w:val="clear"/>
            <w:tcMar>
              <w:top w:type="dxa" w:w="80"/>
              <w:left w:type="dxa" w:w="130"/>
              <w:bottom w:type="dxa" w:w="80"/>
              <w:right w:type="dxa" w:w="130"/>
            </w:tcMar>
            <w:vAlign w:val="center"/>
          </w:tcPr>
          <w:p>
            <w:pPr>
              <w:spacing w:after="0" w:line="252"/>
            </w:pPr>
            <w:r>
              <w:rPr>
                <w:sz w:val="20"/>
                <w:szCs w:val="20"/>
              </w:rPr>
              <w:t xml:space="preserve">key, lang, value</w:t>
            </w:r>
          </w:p>
        </w:tc>
      </w:tr>
      <w:tr>
        <w:tc>
          <w:tcPr>
            <w:tcW w:type="dxa" w:w="2200"/>
            <w:tcBorders>
              <w:top w:val="single" w:color="C9D6E3" w:sz="1"/>
              <w:left w:val="single" w:color="C9D6E3" w:sz="1"/>
              <w:bottom w:val="single" w:color="C9D6E3" w:sz="1"/>
              <w:right w:val="single" w:color="C9D6E3" w:sz="1"/>
            </w:tcBorders>
            <w:shd w:fill="F6F9FC" w:val="clear"/>
            <w:tcMar>
              <w:top w:type="dxa" w:w="80"/>
              <w:left w:type="dxa" w:w="130"/>
              <w:bottom w:type="dxa" w:w="80"/>
              <w:right w:type="dxa" w:w="130"/>
            </w:tcMar>
            <w:vAlign w:val="center"/>
          </w:tcPr>
          <w:p>
            <w:pPr>
              <w:spacing w:after="0" w:line="252"/>
            </w:pPr>
            <w:r>
              <w:rPr>
                <w:i/>
                <w:iCs/>
                <w:color w:val="B8860B"/>
              </w:rPr>
              <w:t xml:space="preserve">[others]</w:t>
            </w:r>
          </w:p>
        </w:tc>
        <w:tc>
          <w:tcPr>
            <w:tcW w:type="dxa" w:w="3826"/>
            <w:tcBorders>
              <w:top w:val="single" w:color="C9D6E3" w:sz="1"/>
              <w:left w:val="single" w:color="C9D6E3" w:sz="1"/>
              <w:bottom w:val="single" w:color="C9D6E3" w:sz="1"/>
              <w:right w:val="single" w:color="C9D6E3" w:sz="1"/>
            </w:tcBorders>
            <w:shd w:fill="F6F9FC" w:val="clear"/>
            <w:tcMar>
              <w:top w:type="dxa" w:w="80"/>
              <w:left w:type="dxa" w:w="130"/>
              <w:bottom w:type="dxa" w:w="80"/>
              <w:right w:type="dxa" w:w="130"/>
            </w:tcMar>
            <w:vAlign w:val="center"/>
          </w:tcPr>
          <w:p>
            <w:pPr>
              <w:spacing w:after="0" w:line="252"/>
            </w:pPr>
            <w:r>
              <w:rPr>
                <w:i/>
                <w:iCs/>
                <w:color w:val="B8860B"/>
              </w:rPr>
              <w:t xml:space="preserve">[…]</w:t>
            </w:r>
          </w:p>
        </w:tc>
        <w:tc>
          <w:tcPr>
            <w:tcW w:type="dxa" w:w="3000"/>
            <w:tcBorders>
              <w:top w:val="single" w:color="C9D6E3" w:sz="1"/>
              <w:left w:val="single" w:color="C9D6E3" w:sz="1"/>
              <w:bottom w:val="single" w:color="C9D6E3" w:sz="1"/>
              <w:right w:val="single" w:color="C9D6E3" w:sz="1"/>
            </w:tcBorders>
            <w:shd w:fill="F6F9FC" w:val="clear"/>
            <w:tcMar>
              <w:top w:type="dxa" w:w="80"/>
              <w:left w:type="dxa" w:w="130"/>
              <w:bottom w:type="dxa" w:w="80"/>
              <w:right w:type="dxa" w:w="130"/>
            </w:tcMar>
            <w:vAlign w:val="center"/>
          </w:tcPr>
          <w:p>
            <w:pPr>
              <w:spacing w:after="0" w:line="252"/>
            </w:pPr>
            <w:r>
              <w:rPr>
                <w:i/>
                <w:iCs/>
                <w:color w:val="B8860B"/>
              </w:rPr>
              <w:t xml:space="preserve">[…]</w:t>
            </w:r>
          </w:p>
        </w:tc>
      </w:tr>
    </w:tbl>
    <w:p>
      <w:pPr>
        <w:spacing w:after="120"/>
      </w:pPr>
      <w:r>
        <w:t xml:space="preserve"/>
      </w:r>
    </w:p>
    <w:tbl>
      <w:tblPr>
        <w:tblW w:type="dxa" w:w="9026"/>
        <w:tblBorders>
          <w:top w:val="single" w:color="EEF3F9" w:sz="2"/>
          <w:left w:val="single" w:color="2BA39A" w:sz="24"/>
          <w:bottom w:val="single" w:color="EEF3F9" w:sz="2"/>
          <w:right w:val="single" w:color="EEF3F9" w:sz="2"/>
          <w:insideH w:val="single" w:color="auto" w:sz="4"/>
          <w:insideV w:val="single" w:color="auto" w:sz="4"/>
        </w:tblBorders>
      </w:tblPr>
      <w:tblGrid>
        <w:gridCol w:w="9026"/>
      </w:tblGrid>
      <w:tr>
        <w:tc>
          <w:tcPr>
            <w:tcW w:type="dxa" w:w="9026"/>
            <w:shd w:fill="EEF3F9" w:val="clear"/>
            <w:tcMar>
              <w:top w:type="dxa" w:w="130"/>
              <w:left w:type="dxa" w:w="200"/>
              <w:bottom w:type="dxa" w:w="130"/>
              <w:right w:type="dxa" w:w="160"/>
            </w:tcMar>
          </w:tcPr>
          <w:p>
            <w:pPr>
              <w:spacing w:after="80"/>
            </w:pPr>
            <w:r>
              <w:rPr>
                <w:b/>
                <w:bCs/>
                <w:color w:val="1F2A44"/>
              </w:rPr>
              <w:t xml:space="preserve">Row-Level Security (RLS)</w:t>
            </w:r>
          </w:p>
          <w:p>
            <w:pPr>
              <w:spacing w:after="70" w:line="258"/>
            </w:pPr>
            <w:r>
              <w:t xml:space="preserve">Confirm RLS is enabled on every table containing customer or admin data.</w:t>
            </w:r>
          </w:p>
          <w:p>
            <w:pPr>
              <w:spacing w:after="70" w:line="258"/>
            </w:pPr>
            <w:r>
              <w:t xml:space="preserve">Public read access should be limited to published, non-sensitive content only.</w:t>
            </w:r>
          </w:p>
          <w:p>
            <w:pPr>
              <w:spacing w:after="0" w:line="258"/>
            </w:pPr>
            <w:r>
              <w:t xml:space="preserve">Bookings and enquiries must never be publicly readable.</w:t>
            </w:r>
          </w:p>
        </w:tc>
      </w:tr>
    </w:tbl>
    <w:p>
      <w:pPr>
        <w:spacing w:after="80" w:line="260"/>
      </w:pPr>
      <w:r>
        <w:rPr>
          <w:b/>
          <w:bCs/>
          <w:color w:val="1F2A44"/>
        </w:rPr>
        <w:t xml:space="preserve">Full schema reference: </w:t>
      </w:r>
      <w:r>
        <w:rPr>
          <w:i/>
          <w:iCs/>
          <w:color w:val="B8860B"/>
        </w:rPr>
        <w:t xml:space="preserve">[Export the schema (or link the migrations folder) and attach an entity-relationship diagram if available.]</w:t>
      </w:r>
    </w:p>
    <w:p>
      <w:pPr>
        <w:pStyle w:val="Heading1"/>
      </w:pPr>
      <w:r>
        <w:t xml:space="preserve">9.  Testing</w:t>
      </w:r>
    </w:p>
    <w:p>
      <w:pPr>
        <w:spacing w:after="120" w:line="264"/>
      </w:pPr>
      <w:r>
        <w:t xml:space="preserve">Document how the application is tested and how to run the tests. If automated coverage is currently limited, state that honestly and list what is verified manually before release.</w:t>
      </w:r>
    </w:p>
    <w:p>
      <w:pPr>
        <w:spacing w:after="80" w:line="260"/>
      </w:pPr>
      <w:r>
        <w:rPr>
          <w:b/>
          <w:bCs/>
          <w:color w:val="1F2A44"/>
        </w:rPr>
        <w:t xml:space="preserve">Automated tests: </w:t>
      </w:r>
      <w:r>
        <w:rPr>
          <w:i/>
          <w:iCs/>
          <w:color w:val="B8860B"/>
        </w:rPr>
        <w:t xml:space="preserve">[Framework used, what is covered, command to run e.g. npm test]</w:t>
      </w:r>
    </w:p>
    <w:p>
      <w:pPr>
        <w:spacing w:after="80" w:line="260"/>
      </w:pPr>
      <w:r>
        <w:rPr>
          <w:b/>
          <w:bCs/>
          <w:color w:val="1F2A44"/>
        </w:rPr>
        <w:t xml:space="preserve">Manual QA checklist: </w:t>
      </w:r>
      <w:r>
        <w:rPr>
          <w:i/>
          <w:iCs/>
          <w:color w:val="B8860B"/>
        </w:rPr>
        <w:t xml:space="preserve">[Key flows to verify before each release — e.g. create/publish package, submit booking, submit enquiry, language switch, payment in test mode, admin login.]</w:t>
      </w:r>
    </w:p>
    <w:p>
      <w:pPr>
        <w:spacing w:after="80" w:line="260"/>
      </w:pPr>
      <w:r>
        <w:rPr>
          <w:b/>
          <w:bCs/>
          <w:color w:val="1F2A44"/>
        </w:rPr>
        <w:t xml:space="preserve">Payment testing: </w:t>
      </w:r>
      <w:r>
        <w:rPr>
          <w:i/>
          <w:iCs/>
          <w:color w:val="B8860B"/>
        </w:rPr>
        <w:t xml:space="preserve">[How to run the IPG in sandbox/test mode and the test card details.]</w:t>
      </w:r>
    </w:p>
    <w:p>
      <w:pPr>
        <w:pStyle w:val="Heading1"/>
      </w:pPr>
      <w:r>
        <w:t xml:space="preserve">10.  Future Development Notes</w:t>
      </w:r>
    </w:p>
    <w:p>
      <w:pPr>
        <w:spacing w:after="120" w:line="264"/>
      </w:pPr>
      <w:r>
        <w:t xml:space="preserve">Items already identified for upcoming work, plus guidance for whoever picks them up.</w:t>
      </w:r>
    </w:p>
    <w:p>
      <w:pPr>
        <w:pStyle w:val="ListParagraph"/>
        <w:numPr>
          <w:ilvl w:val="0"/>
          <w:numId w:val="3"/>
        </w:numPr>
        <w:spacing w:after="70" w:line="260"/>
      </w:pPr>
      <w:r>
        <w:t xml:space="preserve">SMS notifications for bookings and enquiries — planned, not yet implemented. Provider and credentials to be added in section 7 when built.</w:t>
      </w:r>
    </w:p>
    <w:p>
      <w:pPr>
        <w:pStyle w:val="ListParagraph"/>
        <w:numPr>
          <w:ilvl w:val="0"/>
          <w:numId w:val="3"/>
        </w:numPr>
        <w:spacing w:after="70" w:line="260"/>
      </w:pPr>
      <w:r>
        <w:t xml:space="preserve">Phase 2 / AI enhancements (AI chat agent, AI receptionist) — see the recommendations in the Welcome &amp; Thank You Pack.</w:t>
      </w:r>
    </w:p>
    <w:p>
      <w:pPr>
        <w:pStyle w:val="ListParagraph"/>
        <w:numPr>
          <w:ilvl w:val="0"/>
          <w:numId w:val="3"/>
        </w:numPr>
        <w:spacing w:after="70"/>
      </w:pPr>
      <w:r>
        <w:rPr>
          <w:i/>
          <w:iCs/>
          <w:color w:val="B8860B"/>
        </w:rPr>
        <w:t xml:space="preserve">[Add any known technical debt, TODOs, or deferred items here so they aren’t lost.]</w:t>
      </w:r>
    </w:p>
    <w:p>
      <w:pPr>
        <w:pStyle w:val="Heading1"/>
      </w:pPr>
      <w:r>
        <w:t xml:space="preserve">11.  Backup &amp; Recovery</w:t>
      </w:r>
    </w:p>
    <w:p>
      <w:pPr>
        <w:spacing w:after="120" w:line="264"/>
      </w:pPr>
      <w:r>
        <w:t xml:space="preserve">How the data is protected and how to recover it. This is critical because the database holds live customer information.</w:t>
      </w:r>
    </w:p>
    <w:p>
      <w:pPr>
        <w:spacing w:after="80" w:line="260"/>
      </w:pPr>
      <w:r>
        <w:rPr>
          <w:b/>
          <w:bCs/>
          <w:color w:val="1F2A44"/>
        </w:rPr>
        <w:t xml:space="preserve">Backup method &amp; frequency: </w:t>
      </w:r>
      <w:r>
        <w:rPr>
          <w:i/>
          <w:iCs/>
          <w:color w:val="B8860B"/>
        </w:rPr>
        <w:t xml:space="preserve">[e.g. Supabase automated daily backups on the current plan; note retention period.]</w:t>
      </w:r>
    </w:p>
    <w:p>
      <w:pPr>
        <w:spacing w:after="80" w:line="260"/>
      </w:pPr>
      <w:r>
        <w:rPr>
          <w:b/>
          <w:bCs/>
          <w:color w:val="1F2A44"/>
        </w:rPr>
        <w:t xml:space="preserve">Restore procedure: </w:t>
      </w:r>
      <w:r>
        <w:rPr>
          <w:i/>
          <w:iCs/>
          <w:color w:val="B8860B"/>
        </w:rPr>
        <w:t xml:space="preserve">[Step-by-step: how to restore from a backup, who can authorise it, expected data loss window.]</w:t>
      </w:r>
    </w:p>
    <w:p>
      <w:pPr>
        <w:spacing w:after="80" w:line="260"/>
      </w:pPr>
      <w:r>
        <w:rPr>
          <w:b/>
          <w:bCs/>
          <w:color w:val="1F2A44"/>
        </w:rPr>
        <w:t xml:space="preserve">Disaster recovery contact: </w:t>
      </w:r>
      <w:r>
        <w:rPr>
          <w:i/>
          <w:iCs/>
          <w:color w:val="B8860B"/>
        </w:rPr>
        <w:t xml:space="preserve">[Who to call, in what order, if the live system is down.]</w:t>
      </w:r>
    </w:p>
    <w:tbl>
      <w:tblPr>
        <w:tblW w:type="dxa" w:w="9026"/>
        <w:tblBorders>
          <w:top w:val="single" w:color="EEF3F9" w:sz="2"/>
          <w:left w:val="single" w:color="B8860B" w:sz="24"/>
          <w:bottom w:val="single" w:color="EEF3F9" w:sz="2"/>
          <w:right w:val="single" w:color="EEF3F9" w:sz="2"/>
          <w:insideH w:val="single" w:color="auto" w:sz="4"/>
          <w:insideV w:val="single" w:color="auto" w:sz="4"/>
        </w:tblBorders>
      </w:tblPr>
      <w:tblGrid>
        <w:gridCol w:w="9026"/>
      </w:tblGrid>
      <w:tr>
        <w:tc>
          <w:tcPr>
            <w:tcW w:type="dxa" w:w="9026"/>
            <w:shd w:fill="EEF3F9" w:val="clear"/>
            <w:tcMar>
              <w:top w:type="dxa" w:w="130"/>
              <w:left w:type="dxa" w:w="200"/>
              <w:bottom w:type="dxa" w:w="130"/>
              <w:right w:type="dxa" w:w="160"/>
            </w:tcMar>
          </w:tcPr>
          <w:p>
            <w:pPr>
              <w:spacing w:after="80"/>
            </w:pPr>
            <w:r>
              <w:rPr>
                <w:b/>
                <w:bCs/>
                <w:color w:val="1F2A44"/>
              </w:rPr>
              <w:t xml:space="preserve">Reminder</w:t>
            </w:r>
          </w:p>
          <w:p>
            <w:pPr>
              <w:spacing w:after="0" w:line="258"/>
            </w:pPr>
            <w:r>
              <w:t xml:space="preserve">Free Supabase tiers have limited backup retention and can pause inactive projects. Confirm the plan in use meets Beyond Borders’ needs before relying on it for a live business.</w:t>
            </w:r>
          </w:p>
        </w:tc>
      </w:tr>
    </w:tbl>
    <w:sectPr>
      <w:headerReference w:type="default" r:id="rId7"/>
      <w:footerReference w:type="default" r:id="rId8"/>
      <w:type w:val="nextPage"/>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E3" w:sz="4" w:space="4"/>
      </w:pBdr>
      <w:tabs>
        <w:tab w:val="right" w:pos="9026"/>
      </w:tabs>
    </w:pPr>
    <w:r>
      <w:rPr>
        <w:color w:val="5B6573"/>
        <w:sz w:val="15"/>
        <w:szCs w:val="15"/>
      </w:rPr>
      <w:t xml:space="preserve">Kaizen AI  ·  Confidential</w:t>
    </w:r>
    <w:r>
      <w:rPr>
        <w:color w:val="5B6573"/>
        <w:sz w:val="15"/>
        <w:szCs w:val="15"/>
      </w:rPr>
      <w:t xml:space="preserve">	Page </w:t>
    </w:r>
    <w:r>
      <w:rPr>
        <w:color w:val="5B6573"/>
        <w:sz w:val="15"/>
        <w:szCs w:val="15"/>
      </w:rPr>
      <w:fldChar w:fldCharType="begin"/>
      <w:instrText xml:space="preserve">PAGE</w:instrText>
      <w:fldChar w:fldCharType="separate"/>
      <w:fldChar w:fldCharType="end"/>
    </w:r>
    <w:r>
      <w:rPr>
        <w:color w:val="5B6573"/>
        <w:sz w:val="15"/>
        <w:szCs w:val="15"/>
      </w:rPr>
      <w:t xml:space="preserve"> of </w:t>
    </w:r>
    <w:r>
      <w:rPr>
        <w:color w:val="5B6573"/>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E3" w:sz="4" w:space="4"/>
      </w:pBdr>
      <w:tabs>
        <w:tab w:val="right" w:pos="9026"/>
      </w:tabs>
    </w:pPr>
    <w:r>
      <w:rPr>
        <w:b/>
        <w:bCs/>
        <w:color w:val="1F2A44"/>
        <w:sz w:val="16"/>
        <w:szCs w:val="16"/>
      </w:rPr>
      <w:t xml:space="preserve">Beyond Borders</w:t>
    </w:r>
    <w:r>
      <w:rPr>
        <w:color w:val="5B6573"/>
        <w:sz w:val="16"/>
        <w:szCs w:val="16"/>
      </w:rPr>
      <w:t xml:space="preserve">	Developer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decimal"/>
      <w:lvlText w:val="Step %1."/>
      <w:lvlJc w:val="left"/>
      <w:pPr>
        <w:ind w:left="820" w:hanging="54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2F3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2A44"/>
      <w:sz w:val="30"/>
      <w:szCs w:val="30"/>
    </w:rPr>
  </w:style>
  <w:style w:type="paragraph" w:styleId="Heading2">
    <w:name w:val="Heading 2"/>
    <w:basedOn w:val="Normal"/>
    <w:next w:val="Normal"/>
    <w:qFormat/>
    <w:pPr>
      <w:spacing w:after="120" w:before="260"/>
      <w:outlineLvl w:val="1"/>
    </w:pPr>
    <w:rPr>
      <w:rFonts w:ascii="Arial" w:cs="Arial" w:eastAsia="Arial" w:hAnsi="Arial"/>
      <w:b/>
      <w:bCs/>
      <w:color w:val="2E6BB8"/>
      <w:sz w:val="25"/>
      <w:szCs w:val="25"/>
    </w:rPr>
  </w:style>
  <w:style w:type="paragraph" w:styleId="Heading3">
    <w:name w:val="Heading 3"/>
    <w:basedOn w:val="Normal"/>
    <w:next w:val="Normal"/>
    <w:qFormat/>
    <w:pPr>
      <w:spacing w:after="100" w:before="200"/>
      <w:outlineLvl w:val="2"/>
    </w:pPr>
    <w:rPr>
      <w:rFonts w:ascii="Arial" w:cs="Arial" w:eastAsia="Arial" w:hAnsi="Arial"/>
      <w:b/>
      <w:bCs/>
      <w:color w:val="1F2A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2026-06-24T10:53:30.787Z</dcterms:created>
  <dcterms:modified xsi:type="dcterms:W3CDTF">2026-06-24T10:53:30.787Z</dcterms:modified>
</cp:coreProperties>
</file>

<file path=docProps/custom.xml><?xml version="1.0" encoding="utf-8"?>
<Properties xmlns="http://schemas.openxmlformats.org/officeDocument/2006/custom-properties" xmlns:vt="http://schemas.openxmlformats.org/officeDocument/2006/docPropsVTypes"/>
</file>