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1.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lueprintKicker"/>
        <w:jc w:val="center"/>
      </w:pPr>
      <w:r>
        <w:rPr>
          <w:rFonts w:ascii="Arial" w:hAnsi="Arial"/>
          <w:b w:val="0"/>
        </w:rPr>
        <w:t>FINAL PROJECT DOCUMENTATION  ·  AUGUST 2026</w:t>
      </w:r>
    </w:p>
    <w:p/>
    <w:p/>
    <w:p/>
    <w:p/>
    <w:p>
      <w:pPr>
        <w:spacing w:after="80"/>
        <w:jc w:val="center"/>
      </w:pPr>
      <w:r>
        <w:rPr>
          <w:rFonts w:ascii="Arial" w:hAnsi="Arial"/>
          <w:b/>
          <w:color w:val="173C2A"/>
          <w:sz w:val="86"/>
        </w:rPr>
        <w:t>Blueprint</w:t>
      </w:r>
    </w:p>
    <w:p>
      <w:pPr>
        <w:pStyle w:val="BlueprintDeck"/>
        <w:jc w:val="center"/>
      </w:pPr>
      <w:r>
        <w:rPr>
          <w:rFonts w:ascii="Arial" w:hAnsi="Arial"/>
          <w:b w:val="0"/>
          <w:color w:val="2D5F88"/>
          <w:sz w:val="32"/>
        </w:rPr>
        <w:t>Evidence-first founder decision system</w:t>
      </w:r>
    </w:p>
    <w:p>
      <w:pPr>
        <w:ind w:left="1944" w:right="1944"/>
        <w:pBdr>
          <w:bottom w:val="single" w:sz="16" w:space="1" w:color="2B7A78"/>
        </w:pBdr>
      </w:pPr>
    </w:p>
    <w:p>
      <w:pPr>
        <w:jc w:val="center"/>
      </w:pPr>
      <w:r>
        <w:rPr>
          <w:rFonts w:ascii="Arial" w:hAnsi="Arial"/>
          <w:b w:val="0"/>
          <w:i/>
          <w:color w:val="173C2A"/>
          <w:sz w:val="24"/>
        </w:rPr>
        <w:t>Turn the unfinished idea into your next provable move.</w:t>
      </w:r>
    </w:p>
    <w:p/>
    <w:p/>
    <w:p/>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4"/>
            <w:shd w:fill="173C2A"/>
            <w:vAlign w:val="center"/>
          </w:tcPr>
          <w:p>
            <w:pPr>
              <w:spacing w:after="0"/>
            </w:pPr>
            <w:r>
              <w:rPr>
                <w:rFonts w:ascii="Arial" w:hAnsi="Arial"/>
                <w:b/>
                <w:color w:val="FFFFFF"/>
                <w:sz w:val="16"/>
              </w:rPr>
              <w:t>BUILT WITH</w:t>
            </w:r>
          </w:p>
        </w:tc>
        <w:tc>
          <w:tcPr>
            <w:tcW w:type="dxa" w:w="3168"/>
            <w:shd w:fill="173C2A"/>
            <w:vAlign w:val="center"/>
          </w:tcPr>
          <w:p>
            <w:pPr>
              <w:spacing w:after="0"/>
            </w:pPr>
            <w:r>
              <w:rPr>
                <w:rFonts w:ascii="Arial" w:hAnsi="Arial"/>
                <w:b/>
                <w:color w:val="FFFFFF"/>
                <w:sz w:val="16"/>
              </w:rPr>
              <w:t>DECISION SURFACE</w:t>
            </w:r>
          </w:p>
        </w:tc>
        <w:tc>
          <w:tcPr>
            <w:tcW w:type="dxa" w:w="3096"/>
            <w:shd w:fill="173C2A"/>
            <w:vAlign w:val="center"/>
          </w:tcPr>
          <w:p>
            <w:pPr>
              <w:spacing w:after="0"/>
            </w:pPr>
            <w:r>
              <w:rPr>
                <w:rFonts w:ascii="Arial" w:hAnsi="Arial"/>
                <w:b/>
                <w:color w:val="FFFFFF"/>
                <w:sz w:val="16"/>
              </w:rPr>
              <w:t>CURRENT EVIDENCE</w:t>
            </w:r>
          </w:p>
        </w:tc>
      </w:tr>
      <w:tr>
        <w:tc>
          <w:tcPr>
            <w:tcW w:type="dxa" w:w="3384"/>
            <w:vAlign w:val="top"/>
          </w:tcPr>
          <w:p>
            <w:pPr>
              <w:spacing w:after="20"/>
            </w:pPr>
            <w:r>
              <w:rPr>
                <w:rFonts w:ascii="Arial" w:hAnsi="Arial"/>
                <w:color w:val="172019"/>
                <w:sz w:val="16"/>
              </w:rPr>
              <w:t>n8n · Nebius · Supabase · You.com · Pinecone · Mem0</w:t>
            </w:r>
          </w:p>
        </w:tc>
        <w:tc>
          <w:tcPr>
            <w:tcW w:type="dxa" w:w="3168"/>
            <w:vAlign w:val="top"/>
          </w:tcPr>
          <w:p>
            <w:pPr>
              <w:spacing w:after="20"/>
            </w:pPr>
            <w:r>
              <w:rPr>
                <w:rFonts w:ascii="Arial" w:hAnsi="Arial"/>
                <w:color w:val="172019"/>
                <w:sz w:val="16"/>
              </w:rPr>
              <w:t>Streamlit · anonymous owner-isolated session</w:t>
            </w:r>
          </w:p>
        </w:tc>
        <w:tc>
          <w:tcPr>
            <w:tcW w:type="dxa" w:w="3096"/>
            <w:vAlign w:val="top"/>
          </w:tcPr>
          <w:p>
            <w:pPr>
              <w:spacing w:after="20"/>
            </w:pPr>
            <w:r>
              <w:rPr>
                <w:rFonts w:ascii="Arial" w:hAnsi="Arial"/>
                <w:color w:val="172019"/>
                <w:sz w:val="16"/>
              </w:rPr>
              <w:t>79/79 automated contracts passing</w:t>
            </w:r>
          </w:p>
        </w:tc>
      </w:tr>
    </w:tbl>
    <w:p>
      <w:pPr>
        <w:spacing w:after="0"/>
      </w:pPr>
    </w:p>
    <w:p>
      <w:pPr>
        <w:pStyle w:val="BlueprintCaption"/>
        <w:jc w:val="center"/>
      </w:pPr>
      <w:r>
        <w:rPr>
          <w:rFonts w:ascii="Arial" w:hAnsi="Arial"/>
          <w:b w:val="0"/>
        </w:rPr>
        <w:t>Submission asset · Blueprint Evidence Dev</w:t>
      </w:r>
    </w:p>
    <w:p>
      <w:r>
        <w:br w:type="page"/>
      </w:r>
    </w:p>
    <w:p>
      <w:pPr>
        <w:pStyle w:val="BlueprintKicker"/>
        <w:keepNext/>
      </w:pPr>
      <w:r>
        <w:rPr>
          <w:rFonts w:ascii="Arial" w:hAnsi="Arial"/>
          <w:b w:val="0"/>
        </w:rPr>
        <w:t>01 / THE CASE</w:t>
      </w:r>
    </w:p>
    <w:p>
      <w:pPr>
        <w:pStyle w:val="Heading1"/>
        <w:keepNext/>
      </w:pPr>
      <w:r>
        <w:t>Executive summary</w:t>
      </w:r>
    </w:p>
    <w:p>
      <w:r>
        <w:rPr>
          <w:rFonts w:ascii="Arial" w:hAnsi="Arial"/>
          <w:b w:val="0"/>
        </w:rPr>
        <w:t>Blueprint is a staged, evidence-first founder decision system. A founder supplies an unfinished product idea, goals, constraints, and the research they want. A dynamic n8n Supervisor then plans and coordinates narrow research agents, independent evidence audit, a deterministic research verdict, founder checkpoints, and a versioned action Blueprint.</w:t>
      </w:r>
    </w:p>
    <w:tbl>
      <w:tblPr>
        <w:tblW w:type="auto" w:w="0"/>
        <w:jc w:val="center"/>
        <w:tblLayout w:type="autofit"/>
        <w:tblLook w:firstColumn="1" w:firstRow="1" w:lastColumn="0" w:lastRow="0" w:noHBand="0" w:noVBand="1" w:val="04A0"/>
      </w:tblPr>
      <w:tblGrid>
        <w:gridCol w:w="10166"/>
      </w:tblGrid>
      <w:tr>
        <w:tc>
          <w:tcPr>
            <w:tcW w:type="dxa" w:w="10166"/>
            <w:shd w:fill="EAF3EC"/>
            <w:tcBorders>
              <w:left w:val="single" w:sz="22" w:color="2F7D4F"/>
            </w:tcBorders>
            <w:vAlign w:val="center"/>
          </w:tcPr>
          <w:p>
            <w:pPr>
              <w:spacing w:before="120" w:after="120"/>
            </w:pPr>
            <w:r>
              <w:rPr>
                <w:rFonts w:ascii="Arial" w:hAnsi="Arial"/>
                <w:b/>
                <w:color w:val="173C2A"/>
                <w:sz w:val="20"/>
              </w:rPr>
              <w:t>Assignment one-liner</w:t>
              <w:br/>
            </w:r>
            <w:r>
              <w:rPr>
                <w:rFonts w:ascii="Arial" w:hAnsi="Arial"/>
                <w:color w:val="172019"/>
                <w:sz w:val="18"/>
              </w:rPr>
              <w:t>Blueprint helps an early founder with an existing idea complete an evidence-backed validation workflow in a Streamlit web app, replacing days of disconnected customer, competitor, market, and financial research. The system autonomously performs bounded read-only research and analysis, pauses for ambiguity, correction, rerun, or consequential decisions, and succeeds when the founder receives a quality-approved, cited, actionable Blueprint with a visible terminal state.</w:t>
            </w:r>
          </w:p>
        </w:tc>
      </w:tr>
    </w:tbl>
    <w:p>
      <w:pPr>
        <w:spacing w:after="0"/>
      </w:pPr>
    </w:p>
    <w:p>
      <w:pPr>
        <w:jc w:val="center"/>
      </w:pPr>
      <w:r>
        <w:drawing>
          <wp:inline xmlns:a="http://schemas.openxmlformats.org/drawingml/2006/main" xmlns:pic="http://schemas.openxmlformats.org/drawingml/2006/picture">
            <wp:extent cx="6355080" cy="2491191"/>
            <wp:docPr id="1" name="Picture 1"/>
            <wp:cNvGraphicFramePr>
              <a:graphicFrameLocks noChangeAspect="1"/>
            </wp:cNvGraphicFramePr>
            <a:graphic>
              <a:graphicData uri="http://schemas.openxmlformats.org/drawingml/2006/picture">
                <pic:pic>
                  <pic:nvPicPr>
                    <pic:cNvPr id="0" name="01_founder_story.png"/>
                    <pic:cNvPicPr/>
                  </pic:nvPicPr>
                  <pic:blipFill>
                    <a:blip r:embed="rId11"/>
                    <a:stretch>
                      <a:fillRect/>
                    </a:stretch>
                  </pic:blipFill>
                  <pic:spPr>
                    <a:xfrm>
                      <a:off x="0" y="0"/>
                      <a:ext cx="6355080" cy="2491191"/>
                    </a:xfrm>
                    <a:prstGeom prst="rect"/>
                  </pic:spPr>
                </pic:pic>
              </a:graphicData>
            </a:graphic>
          </wp:inline>
        </w:drawing>
      </w:r>
    </w:p>
    <w:p>
      <w:pPr>
        <w:pStyle w:val="BlueprintCaption"/>
        <w:jc w:val="center"/>
        <w:keepLines/>
      </w:pPr>
      <w:r>
        <w:rPr>
          <w:rFonts w:ascii="Arial" w:hAnsi="Arial"/>
          <w:b w:val="0"/>
        </w:rPr>
        <w:t>Figure 1. The product replaces tab sprawl and generic advice with a gated evidence-to-action journey.</w:t>
      </w:r>
    </w:p>
    <w:p>
      <w:pPr>
        <w:pStyle w:val="Heading2"/>
        <w:keepNext/>
      </w:pPr>
      <w:r>
        <w:t>Why this problem matters</w:t>
      </w:r>
    </w:p>
    <w:p>
      <w:r>
        <w:rPr>
          <w:rFonts w:ascii="Arial" w:hAnsi="Arial"/>
          <w:b w:val="0"/>
        </w:rPr>
        <w:t>Early founders rarely suffer from a shortage of advice. They suffer from disconnected evidence, changing assumptions, research that cannot be traced, and no reliable answer to “what should I do next?” Existing market-research tools often return a report. Blueprint manages the decision journey around that report: what to investigate, what evidence is sufficient, when to stop, when to ask the founder, and how each decision changes the plan.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952"/>
            <w:shd w:fill="173C2A"/>
            <w:vAlign w:val="center"/>
          </w:tcPr>
          <w:p>
            <w:pPr>
              <w:spacing w:after="0"/>
            </w:pPr>
            <w:r>
              <w:rPr>
                <w:rFonts w:ascii="Arial" w:hAnsi="Arial"/>
                <w:b/>
                <w:color w:val="FFFFFF"/>
                <w:sz w:val="15"/>
              </w:rPr>
              <w:t>Founder pain</w:t>
            </w:r>
          </w:p>
        </w:tc>
        <w:tc>
          <w:tcPr>
            <w:tcW w:type="dxa" w:w="2664"/>
            <w:shd w:fill="173C2A"/>
            <w:vAlign w:val="center"/>
          </w:tcPr>
          <w:p>
            <w:pPr>
              <w:spacing w:after="0"/>
            </w:pPr>
            <w:r>
              <w:rPr>
                <w:rFonts w:ascii="Arial" w:hAnsi="Arial"/>
                <w:b/>
                <w:color w:val="FFFFFF"/>
                <w:sz w:val="15"/>
              </w:rPr>
              <w:t>Consequence</w:t>
            </w:r>
          </w:p>
        </w:tc>
        <w:tc>
          <w:tcPr>
            <w:tcW w:type="dxa" w:w="4032"/>
            <w:shd w:fill="173C2A"/>
            <w:vAlign w:val="center"/>
          </w:tcPr>
          <w:p>
            <w:pPr>
              <w:spacing w:after="0"/>
            </w:pPr>
            <w:r>
              <w:rPr>
                <w:rFonts w:ascii="Arial" w:hAnsi="Arial"/>
                <w:b/>
                <w:color w:val="FFFFFF"/>
                <w:sz w:val="15"/>
              </w:rPr>
              <w:t>Blueprint response</w:t>
            </w:r>
          </w:p>
        </w:tc>
      </w:tr>
      <w:tr>
        <w:tc>
          <w:tcPr>
            <w:tcW w:type="dxa" w:w="2952"/>
            <w:vAlign w:val="top"/>
          </w:tcPr>
          <w:p>
            <w:pPr>
              <w:spacing w:after="20"/>
            </w:pPr>
            <w:r>
              <w:rPr>
                <w:rFonts w:ascii="Arial" w:hAnsi="Arial"/>
                <w:color w:val="172019"/>
                <w:sz w:val="15"/>
              </w:rPr>
              <w:t>Research lives across tabs and chats</w:t>
            </w:r>
          </w:p>
        </w:tc>
        <w:tc>
          <w:tcPr>
            <w:tcW w:type="dxa" w:w="2664"/>
            <w:vAlign w:val="top"/>
          </w:tcPr>
          <w:p>
            <w:pPr>
              <w:spacing w:after="20"/>
            </w:pPr>
            <w:r>
              <w:rPr>
                <w:rFonts w:ascii="Arial" w:hAnsi="Arial"/>
                <w:color w:val="172019"/>
                <w:sz w:val="15"/>
              </w:rPr>
              <w:t>No durable project memory</w:t>
            </w:r>
          </w:p>
        </w:tc>
        <w:tc>
          <w:tcPr>
            <w:tcW w:type="dxa" w:w="4032"/>
            <w:vAlign w:val="top"/>
          </w:tcPr>
          <w:p>
            <w:pPr>
              <w:spacing w:after="20"/>
            </w:pPr>
            <w:r>
              <w:rPr>
                <w:rFonts w:ascii="Arial" w:hAnsi="Arial"/>
                <w:color w:val="172019"/>
                <w:sz w:val="15"/>
              </w:rPr>
              <w:t>Canonical run, evidence, decision, and version state</w:t>
            </w:r>
          </w:p>
        </w:tc>
      </w:tr>
      <w:tr>
        <w:tc>
          <w:tcPr>
            <w:tcW w:type="dxa" w:w="2952"/>
            <w:shd w:fill="F6F7F5"/>
            <w:vAlign w:val="top"/>
          </w:tcPr>
          <w:p>
            <w:pPr>
              <w:spacing w:after="20"/>
            </w:pPr>
            <w:r>
              <w:rPr>
                <w:rFonts w:ascii="Arial" w:hAnsi="Arial"/>
                <w:color w:val="172019"/>
                <w:sz w:val="15"/>
              </w:rPr>
              <w:t>Competitor lists are generic</w:t>
            </w:r>
          </w:p>
        </w:tc>
        <w:tc>
          <w:tcPr>
            <w:tcW w:type="dxa" w:w="2664"/>
            <w:shd w:fill="F6F7F5"/>
            <w:vAlign w:val="top"/>
          </w:tcPr>
          <w:p>
            <w:pPr>
              <w:spacing w:after="20"/>
            </w:pPr>
            <w:r>
              <w:rPr>
                <w:rFonts w:ascii="Arial" w:hAnsi="Arial"/>
                <w:color w:val="172019"/>
                <w:sz w:val="15"/>
              </w:rPr>
              <w:t>No usable differentiation</w:t>
            </w:r>
          </w:p>
        </w:tc>
        <w:tc>
          <w:tcPr>
            <w:tcW w:type="dxa" w:w="4032"/>
            <w:shd w:fill="F6F7F5"/>
            <w:vAlign w:val="top"/>
          </w:tcPr>
          <w:p>
            <w:pPr>
              <w:spacing w:after="20"/>
            </w:pPr>
            <w:r>
              <w:rPr>
                <w:rFonts w:ascii="Arial" w:hAnsi="Arial"/>
                <w:color w:val="172019"/>
                <w:sz w:val="15"/>
              </w:rPr>
              <w:t>Alternatives, strengths, weaknesses, reviews, gaps, and implications</w:t>
            </w:r>
          </w:p>
        </w:tc>
      </w:tr>
      <w:tr>
        <w:tc>
          <w:tcPr>
            <w:tcW w:type="dxa" w:w="2952"/>
            <w:vAlign w:val="top"/>
          </w:tcPr>
          <w:p>
            <w:pPr>
              <w:spacing w:after="20"/>
            </w:pPr>
            <w:r>
              <w:rPr>
                <w:rFonts w:ascii="Arial" w:hAnsi="Arial"/>
                <w:color w:val="172019"/>
                <w:sz w:val="15"/>
              </w:rPr>
              <w:t>Desk research sounds certain</w:t>
            </w:r>
          </w:p>
        </w:tc>
        <w:tc>
          <w:tcPr>
            <w:tcW w:type="dxa" w:w="2664"/>
            <w:vAlign w:val="top"/>
          </w:tcPr>
          <w:p>
            <w:pPr>
              <w:spacing w:after="20"/>
            </w:pPr>
            <w:r>
              <w:rPr>
                <w:rFonts w:ascii="Arial" w:hAnsi="Arial"/>
                <w:color w:val="172019"/>
                <w:sz w:val="15"/>
              </w:rPr>
              <w:t>False confidence</w:t>
            </w:r>
          </w:p>
        </w:tc>
        <w:tc>
          <w:tcPr>
            <w:tcW w:type="dxa" w:w="4032"/>
            <w:vAlign w:val="top"/>
          </w:tcPr>
          <w:p>
            <w:pPr>
              <w:spacing w:after="20"/>
            </w:pPr>
            <w:r>
              <w:rPr>
                <w:rFonts w:ascii="Arial" w:hAnsi="Arial"/>
                <w:color w:val="172019"/>
                <w:sz w:val="15"/>
              </w:rPr>
              <w:t>Independent audit, explicit unknowns, and commercial score ceiling</w:t>
            </w:r>
          </w:p>
        </w:tc>
      </w:tr>
      <w:tr>
        <w:tc>
          <w:tcPr>
            <w:tcW w:type="dxa" w:w="2952"/>
            <w:shd w:fill="F6F7F5"/>
            <w:vAlign w:val="top"/>
          </w:tcPr>
          <w:p>
            <w:pPr>
              <w:spacing w:after="20"/>
            </w:pPr>
            <w:r>
              <w:rPr>
                <w:rFonts w:ascii="Arial" w:hAnsi="Arial"/>
                <w:color w:val="172019"/>
                <w:sz w:val="15"/>
              </w:rPr>
              <w:t>A long report ends without action</w:t>
            </w:r>
          </w:p>
        </w:tc>
        <w:tc>
          <w:tcPr>
            <w:tcW w:type="dxa" w:w="2664"/>
            <w:shd w:fill="F6F7F5"/>
            <w:vAlign w:val="top"/>
          </w:tcPr>
          <w:p>
            <w:pPr>
              <w:spacing w:after="20"/>
            </w:pPr>
            <w:r>
              <w:rPr>
                <w:rFonts w:ascii="Arial" w:hAnsi="Arial"/>
                <w:color w:val="172019"/>
                <w:sz w:val="15"/>
              </w:rPr>
              <w:t>Founder stalls</w:t>
            </w:r>
          </w:p>
        </w:tc>
        <w:tc>
          <w:tcPr>
            <w:tcW w:type="dxa" w:w="4032"/>
            <w:shd w:fill="F6F7F5"/>
            <w:vAlign w:val="top"/>
          </w:tcPr>
          <w:p>
            <w:pPr>
              <w:spacing w:after="20"/>
            </w:pPr>
            <w:r>
              <w:rPr>
                <w:rFonts w:ascii="Arial" w:hAnsi="Arial"/>
                <w:color w:val="172019"/>
                <w:sz w:val="15"/>
              </w:rPr>
              <w:t>Section actionables, stage gates, and a goal-specific next route</w:t>
            </w:r>
          </w:p>
        </w:tc>
      </w:tr>
    </w:tbl>
    <w:p>
      <w:pPr>
        <w:spacing w:after="0"/>
      </w:pPr>
    </w:p>
    <w:p>
      <w:r>
        <w:br w:type="page"/>
      </w:r>
    </w:p>
    <w:p>
      <w:pPr>
        <w:pStyle w:val="BlueprintKicker"/>
        <w:keepNext/>
      </w:pPr>
      <w:r>
        <w:rPr>
          <w:rFonts w:ascii="Arial" w:hAnsi="Arial"/>
          <w:b w:val="0"/>
        </w:rPr>
        <w:t>02 / WHAT WE BUILT</w:t>
      </w:r>
    </w:p>
    <w:p>
      <w:pPr>
        <w:pStyle w:val="Heading1"/>
        <w:keepNext/>
      </w:pPr>
      <w:r>
        <w:t>Product scope and success</w:t>
      </w:r>
    </w:p>
    <w:p>
      <w:pPr>
        <w:pStyle w:val="Heading2"/>
        <w:keepNext/>
      </w:pPr>
      <w:r>
        <w:t>The founder and the job</w:t>
      </w:r>
    </w:p>
    <w:p>
      <w:r>
        <w:rPr>
          <w:rFonts w:ascii="Arial" w:hAnsi="Arial"/>
          <w:b w:val="0"/>
        </w:rPr>
        <w:t>The primary user is an early-stage founder who already has an idea but does not yet have a decision-ready body of evidence. The product is deliberately not an idea generator, project manager, or execution bot. Its job is to take the founder from an ambiguous idea to a traceable research verdict and an advisory action Blueprint.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824"/>
            <w:shd w:fill="173C2A"/>
            <w:vAlign w:val="center"/>
          </w:tcPr>
          <w:p>
            <w:pPr>
              <w:spacing w:after="0"/>
            </w:pPr>
            <w:r>
              <w:rPr>
                <w:rFonts w:ascii="Arial" w:hAnsi="Arial"/>
                <w:b/>
                <w:color w:val="FFFFFF"/>
                <w:sz w:val="16"/>
              </w:rPr>
              <w:t>In scope for V1</w:t>
            </w:r>
          </w:p>
        </w:tc>
        <w:tc>
          <w:tcPr>
            <w:tcW w:type="dxa" w:w="4824"/>
            <w:shd w:fill="173C2A"/>
            <w:vAlign w:val="center"/>
          </w:tcPr>
          <w:p>
            <w:pPr>
              <w:spacing w:after="0"/>
            </w:pPr>
            <w:r>
              <w:rPr>
                <w:rFonts w:ascii="Arial" w:hAnsi="Arial"/>
                <w:b/>
                <w:color w:val="FFFFFF"/>
                <w:sz w:val="16"/>
              </w:rPr>
              <w:t>Out of scope for V1</w:t>
            </w:r>
          </w:p>
        </w:tc>
      </w:tr>
      <w:tr>
        <w:tc>
          <w:tcPr>
            <w:tcW w:type="dxa" w:w="4824"/>
            <w:vAlign w:val="top"/>
          </w:tcPr>
          <w:p>
            <w:pPr>
              <w:spacing w:after="20"/>
            </w:pPr>
            <w:r>
              <w:rPr>
                <w:rFonts w:ascii="Arial" w:hAnsi="Arial"/>
                <w:color w:val="172019"/>
                <w:sz w:val="16"/>
              </w:rPr>
              <w:t>Idea framing; customer, competitor, and market research; evidence audit; viability verdict; validation and offer design; deterministic financial scenarios; MVP, first-customer, distribution, and milestone guidance; contextual research chat; targeted reruns.</w:t>
            </w:r>
          </w:p>
        </w:tc>
        <w:tc>
          <w:tcPr>
            <w:tcW w:type="dxa" w:w="4824"/>
            <w:vAlign w:val="top"/>
          </w:tcPr>
          <w:p>
            <w:pPr>
              <w:spacing w:after="20"/>
            </w:pPr>
            <w:r>
              <w:rPr>
                <w:rFonts w:ascii="Arial" w:hAnsi="Arial"/>
                <w:color w:val="172019"/>
                <w:sz w:val="16"/>
              </w:rPr>
              <w:t>Sending messages; contacting prospects; publishing; booking; purchasing; paying; deleting records; fabricating interviews; claiming willingness to pay; legal or investment certainty; launching the business on the founder’s behalf.</w:t>
            </w:r>
          </w:p>
        </w:tc>
      </w:tr>
    </w:tbl>
    <w:p>
      <w:pPr>
        <w:spacing w:after="0"/>
      </w:pPr>
    </w:p>
    <w:p>
      <w:pPr>
        <w:pStyle w:val="Heading2"/>
        <w:keepNext/>
      </w:pPr>
      <w:r>
        <w:t>Measurable definition of done</w:t>
      </w:r>
    </w:p>
    <w:p>
      <w:pPr>
        <w:pStyle w:val="ListBullet"/>
        <w:spacing w:after="60"/>
        <w:ind w:left="288" w:hanging="173"/>
      </w:pPr>
      <w:r>
        <w:rPr>
          <w:rFonts w:ascii="Arial" w:hAnsi="Arial"/>
          <w:sz w:val="18"/>
        </w:rPr>
        <w:t>The workflow reaches a visible terminal state: completed, partial, waiting for founder, denied, or safely failed.</w:t>
      </w:r>
    </w:p>
    <w:p>
      <w:pPr>
        <w:pStyle w:val="ListBullet"/>
        <w:spacing w:after="60"/>
        <w:ind w:left="288" w:hanging="173"/>
      </w:pPr>
      <w:r>
        <w:rPr>
          <w:rFonts w:ascii="Arial" w:hAnsi="Arial"/>
          <w:sz w:val="18"/>
        </w:rPr>
        <w:t>Every material factual claim is linked to accepted evidence or explicitly labeled as an assumption, scenario, recommendation, or unknown.</w:t>
      </w:r>
    </w:p>
    <w:p>
      <w:pPr>
        <w:pStyle w:val="ListBullet"/>
        <w:spacing w:after="60"/>
        <w:ind w:left="288" w:hanging="173"/>
      </w:pPr>
      <w:r>
        <w:rPr>
          <w:rFonts w:ascii="Arial" w:hAnsi="Arial"/>
          <w:sz w:val="18"/>
        </w:rPr>
        <w:t>The founder receives a reasoned verdict, not a probability of startup success, plus concrete next actions.</w:t>
      </w:r>
    </w:p>
    <w:p>
      <w:pPr>
        <w:pStyle w:val="ListBullet"/>
        <w:spacing w:after="60"/>
        <w:ind w:left="288" w:hanging="173"/>
      </w:pPr>
      <w:r>
        <w:rPr>
          <w:rFonts w:ascii="Arial" w:hAnsi="Arial"/>
          <w:sz w:val="18"/>
        </w:rPr>
        <w:t>No later stage is entered without its dependency and founder-gate conditions being satisfied.</w:t>
      </w:r>
    </w:p>
    <w:p>
      <w:pPr>
        <w:pStyle w:val="ListBullet"/>
        <w:spacing w:after="60"/>
        <w:ind w:left="288" w:hanging="173"/>
      </w:pPr>
      <w:r>
        <w:rPr>
          <w:rFonts w:ascii="Arial" w:hAnsi="Arial"/>
          <w:sz w:val="18"/>
        </w:rPr>
        <w:t>Target product metrics: completion under 12 minutes, at least 90% material-claim citation coverage, and 100% visible outcomes. Live latency/cost measurement remains an acceptance task, not a completed claim.</w:t>
      </w:r>
    </w:p>
    <w:tbl>
      <w:tblPr>
        <w:tblW w:type="auto" w:w="0"/>
        <w:jc w:val="center"/>
        <w:tblLayout w:type="autofit"/>
        <w:tblLook w:firstColumn="1" w:firstRow="1" w:lastColumn="0" w:lastRow="0" w:noHBand="0" w:noVBand="1" w:val="04A0"/>
      </w:tblPr>
      <w:tblGrid>
        <w:gridCol w:w="10166"/>
      </w:tblGrid>
      <w:tr>
        <w:tc>
          <w:tcPr>
            <w:tcW w:type="dxa" w:w="10166"/>
            <w:shd w:fill="EAF1F7"/>
            <w:tcBorders>
              <w:left w:val="single" w:sz="22" w:color="2F7D4F"/>
            </w:tcBorders>
            <w:vAlign w:val="center"/>
          </w:tcPr>
          <w:p>
            <w:pPr>
              <w:spacing w:before="120" w:after="120"/>
            </w:pPr>
            <w:r>
              <w:rPr>
                <w:rFonts w:ascii="Arial" w:hAnsi="Arial"/>
                <w:b/>
                <w:color w:val="173C2A"/>
                <w:sz w:val="20"/>
              </w:rPr>
              <w:t>The winning distinction</w:t>
              <w:br/>
            </w:r>
            <w:r>
              <w:rPr>
                <w:rFonts w:ascii="Arial" w:hAnsi="Arial"/>
                <w:color w:val="172019"/>
                <w:sz w:val="18"/>
              </w:rPr>
              <w:t>Blueprint is not a single LLM call and not a static A→B→C automation. The Supervisor repeatedly reads state, chooses the next eligible task, observes the result, audits quality, and either continues, repairs, replans, asks the founder, completes partially, or stops safely.</w:t>
            </w:r>
          </w:p>
        </w:tc>
      </w:tr>
    </w:tbl>
    <w:p>
      <w:pPr>
        <w:spacing w:after="0"/>
      </w:pPr>
    </w:p>
    <w:p>
      <w:r>
        <w:br w:type="page"/>
      </w:r>
    </w:p>
    <w:p>
      <w:pPr>
        <w:pStyle w:val="BlueprintKicker"/>
        <w:keepNext/>
      </w:pPr>
      <w:r>
        <w:rPr>
          <w:rFonts w:ascii="Arial" w:hAnsi="Arial"/>
          <w:b w:val="0"/>
        </w:rPr>
        <w:t>03 / THE BUILD</w:t>
      </w:r>
    </w:p>
    <w:p>
      <w:pPr>
        <w:pStyle w:val="Heading1"/>
        <w:keepNext/>
      </w:pPr>
      <w:r>
        <w:t>System architecture</w:t>
      </w:r>
    </w:p>
    <w:p>
      <w:pPr>
        <w:jc w:val="center"/>
      </w:pPr>
      <w:r>
        <w:drawing>
          <wp:inline xmlns:a="http://schemas.openxmlformats.org/drawingml/2006/main" xmlns:pic="http://schemas.openxmlformats.org/drawingml/2006/picture">
            <wp:extent cx="6355080" cy="3440217"/>
            <wp:docPr id="2" name="Picture 2"/>
            <wp:cNvGraphicFramePr>
              <a:graphicFrameLocks noChangeAspect="1"/>
            </wp:cNvGraphicFramePr>
            <a:graphic>
              <a:graphicData uri="http://schemas.openxmlformats.org/drawingml/2006/picture">
                <pic:pic>
                  <pic:nvPicPr>
                    <pic:cNvPr id="0" name="02_system_architecture.png"/>
                    <pic:cNvPicPr/>
                  </pic:nvPicPr>
                  <pic:blipFill>
                    <a:blip r:embed="rId12"/>
                    <a:stretch>
                      <a:fillRect/>
                    </a:stretch>
                  </pic:blipFill>
                  <pic:spPr>
                    <a:xfrm>
                      <a:off x="0" y="0"/>
                      <a:ext cx="6355080" cy="3440217"/>
                    </a:xfrm>
                    <a:prstGeom prst="rect"/>
                  </pic:spPr>
                </pic:pic>
              </a:graphicData>
            </a:graphic>
          </wp:inline>
        </w:drawing>
      </w:r>
    </w:p>
    <w:p>
      <w:pPr>
        <w:pStyle w:val="BlueprintCaption"/>
        <w:jc w:val="center"/>
        <w:keepLines/>
      </w:pPr>
      <w:r>
        <w:rPr>
          <w:rFonts w:ascii="Arial" w:hAnsi="Arial"/>
          <w:b w:val="0"/>
        </w:rPr>
        <w:t>Figure 2. Five layers separate experience, control, intelligence, tools, and canonical state.</w:t>
      </w:r>
    </w:p>
    <w:p>
      <w:r>
        <w:rPr>
          <w:rFonts w:ascii="Arial" w:hAnsi="Arial"/>
          <w:b w:val="0"/>
        </w:rPr>
        <w:t>The architecture is deliberately hybrid. Deterministic code owns validation, stage permissions, financial calculations, counters, ownership, and stopping rules. Narrow LLM specialists own research interpretation and synthesis. Independent agents audit those outputs. Supabase—not model memory—is the source of truth.</w:t>
      </w:r>
    </w:p>
    <w:p>
      <w:pPr>
        <w:pStyle w:val="Heading2"/>
        <w:keepNext/>
      </w:pPr>
      <w:r>
        <w:t>Request path</w:t>
      </w:r>
    </w:p>
    <w:p>
      <w:pPr>
        <w:pStyle w:val="ListBullet"/>
        <w:spacing w:after="60"/>
        <w:ind w:left="288" w:hanging="173"/>
      </w:pPr>
      <w:r>
        <w:rPr>
          <w:rFonts w:ascii="Arial" w:hAnsi="Arial"/>
          <w:sz w:val="18"/>
        </w:rPr>
        <w:t>Streamlit silently creates an anonymous Supabase session; no signup or login form interrupts the evaluator.</w:t>
      </w:r>
    </w:p>
    <w:p>
      <w:pPr>
        <w:pStyle w:val="ListBullet"/>
        <w:spacing w:after="60"/>
        <w:ind w:left="288" w:hanging="173"/>
      </w:pPr>
      <w:r>
        <w:rPr>
          <w:rFonts w:ascii="Arial" w:hAnsi="Arial"/>
          <w:sz w:val="18"/>
        </w:rPr>
        <w:t>The owner JWT enters BP-API-01, which validates and initializes the run before BP-00 supervises it.</w:t>
      </w:r>
    </w:p>
    <w:p>
      <w:pPr>
        <w:pStyle w:val="ListBullet"/>
        <w:spacing w:after="60"/>
        <w:ind w:left="288" w:hanging="173"/>
      </w:pPr>
      <w:r>
        <w:rPr>
          <w:rFonts w:ascii="Arial" w:hAnsi="Arial"/>
          <w:sz w:val="18"/>
        </w:rPr>
        <w:t>The dynamic planner creates only stage-eligible tasks and the scheduler claims only tasks whose dependencies and adapters are ready.</w:t>
      </w:r>
    </w:p>
    <w:p>
      <w:pPr>
        <w:pStyle w:val="ListBullet"/>
        <w:spacing w:after="60"/>
        <w:ind w:left="288" w:hanging="173"/>
      </w:pPr>
      <w:r>
        <w:rPr>
          <w:rFonts w:ascii="Arial" w:hAnsi="Arial"/>
          <w:sz w:val="18"/>
        </w:rPr>
        <w:t>Specialists return typed observations. Evidence is audited before a verdict or Blueprint can use it.</w:t>
      </w:r>
    </w:p>
    <w:p>
      <w:pPr>
        <w:pStyle w:val="ListBullet"/>
        <w:spacing w:after="60"/>
        <w:ind w:left="288" w:hanging="173"/>
      </w:pPr>
      <w:r>
        <w:rPr>
          <w:rFonts w:ascii="Arial" w:hAnsi="Arial"/>
          <w:sz w:val="18"/>
        </w:rPr>
        <w:t>The UI reads owner-scoped control-panel and run snapshots, so running, blocked, completed, error, and needs-input states remain visible.</w:t>
      </w:r>
    </w:p>
    <w:p>
      <w:pPr>
        <w:pStyle w:val="Heading2"/>
        <w:keepNext/>
      </w:pPr>
      <w:r>
        <w:t>Workflow inventory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C2A"/>
            <w:vAlign w:val="center"/>
          </w:tcPr>
          <w:p>
            <w:pPr>
              <w:spacing w:after="0"/>
            </w:pPr>
            <w:r>
              <w:rPr>
                <w:rFonts w:ascii="Arial" w:hAnsi="Arial"/>
                <w:b/>
                <w:color w:val="FFFFFF"/>
                <w:sz w:val="15"/>
              </w:rPr>
              <w:t>Workflow family</w:t>
            </w:r>
          </w:p>
        </w:tc>
        <w:tc>
          <w:tcPr>
            <w:tcW w:type="dxa" w:w="3672"/>
            <w:shd w:fill="173C2A"/>
            <w:vAlign w:val="center"/>
          </w:tcPr>
          <w:p>
            <w:pPr>
              <w:spacing w:after="0"/>
            </w:pPr>
            <w:r>
              <w:rPr>
                <w:rFonts w:ascii="Arial" w:hAnsi="Arial"/>
                <w:b/>
                <w:color w:val="FFFFFF"/>
                <w:sz w:val="15"/>
              </w:rPr>
              <w:t>Responsibility</w:t>
            </w:r>
          </w:p>
        </w:tc>
        <w:tc>
          <w:tcPr>
            <w:tcW w:type="dxa" w:w="4176"/>
            <w:shd w:fill="173C2A"/>
            <w:vAlign w:val="center"/>
          </w:tcPr>
          <w:p>
            <w:pPr>
              <w:spacing w:after="0"/>
            </w:pPr>
            <w:r>
              <w:rPr>
                <w:rFonts w:ascii="Arial" w:hAnsi="Arial"/>
                <w:b/>
                <w:color w:val="FFFFFF"/>
                <w:sz w:val="15"/>
              </w:rPr>
              <w:t>Representative exports</w:t>
            </w:r>
          </w:p>
        </w:tc>
      </w:tr>
      <w:tr>
        <w:tc>
          <w:tcPr>
            <w:tcW w:type="dxa" w:w="1800"/>
            <w:vAlign w:val="top"/>
          </w:tcPr>
          <w:p>
            <w:pPr>
              <w:spacing w:after="20"/>
            </w:pPr>
            <w:r>
              <w:rPr>
                <w:rFonts w:ascii="Arial" w:hAnsi="Arial"/>
                <w:color w:val="172019"/>
                <w:sz w:val="15"/>
              </w:rPr>
              <w:t>Entry and control</w:t>
            </w:r>
          </w:p>
        </w:tc>
        <w:tc>
          <w:tcPr>
            <w:tcW w:type="dxa" w:w="3672"/>
            <w:vAlign w:val="top"/>
          </w:tcPr>
          <w:p>
            <w:pPr>
              <w:spacing w:after="20"/>
            </w:pPr>
            <w:r>
              <w:rPr>
                <w:rFonts w:ascii="Arial" w:hAnsi="Arial"/>
                <w:color w:val="172019"/>
                <w:sz w:val="15"/>
              </w:rPr>
              <w:t>Authenticate, initialize, supervise, re-evaluate</w:t>
            </w:r>
          </w:p>
        </w:tc>
        <w:tc>
          <w:tcPr>
            <w:tcW w:type="dxa" w:w="4176"/>
            <w:vAlign w:val="top"/>
          </w:tcPr>
          <w:p>
            <w:pPr>
              <w:spacing w:after="20"/>
            </w:pPr>
            <w:r>
              <w:rPr>
                <w:rFonts w:ascii="Arial" w:hAnsi="Arial"/>
                <w:color w:val="172019"/>
                <w:sz w:val="15"/>
              </w:rPr>
              <w:t>BP-API-01 · BP-00 · BP-SUPERVISOR-REEVAL-01</w:t>
            </w:r>
          </w:p>
        </w:tc>
      </w:tr>
      <w:tr>
        <w:tc>
          <w:tcPr>
            <w:tcW w:type="dxa" w:w="1800"/>
            <w:shd w:fill="F6F7F5"/>
            <w:vAlign w:val="top"/>
          </w:tcPr>
          <w:p>
            <w:pPr>
              <w:spacing w:after="20"/>
            </w:pPr>
            <w:r>
              <w:rPr>
                <w:rFonts w:ascii="Arial" w:hAnsi="Arial"/>
                <w:color w:val="172019"/>
                <w:sz w:val="15"/>
              </w:rPr>
              <w:t>Planning and dispatch</w:t>
            </w:r>
          </w:p>
        </w:tc>
        <w:tc>
          <w:tcPr>
            <w:tcW w:type="dxa" w:w="3672"/>
            <w:shd w:fill="F6F7F5"/>
            <w:vAlign w:val="top"/>
          </w:tcPr>
          <w:p>
            <w:pPr>
              <w:spacing w:after="20"/>
            </w:pPr>
            <w:r>
              <w:rPr>
                <w:rFonts w:ascii="Arial" w:hAnsi="Arial"/>
                <w:color w:val="172019"/>
                <w:sz w:val="15"/>
              </w:rPr>
              <w:t>Create dependency graph, claim eligible work, route typed tasks</w:t>
            </w:r>
          </w:p>
        </w:tc>
        <w:tc>
          <w:tcPr>
            <w:tcW w:type="dxa" w:w="4176"/>
            <w:shd w:fill="F6F7F5"/>
            <w:vAlign w:val="top"/>
          </w:tcPr>
          <w:p>
            <w:pPr>
              <w:spacing w:after="20"/>
            </w:pPr>
            <w:r>
              <w:rPr>
                <w:rFonts w:ascii="Arial" w:hAnsi="Arial"/>
                <w:color w:val="172019"/>
                <w:sz w:val="15"/>
              </w:rPr>
              <w:t>BP-PLAN-01 · BP-SCHED-01 · BP-STAGE1-ROUTER-01</w:t>
            </w:r>
          </w:p>
        </w:tc>
      </w:tr>
      <w:tr>
        <w:tc>
          <w:tcPr>
            <w:tcW w:type="dxa" w:w="1800"/>
            <w:vAlign w:val="top"/>
          </w:tcPr>
          <w:p>
            <w:pPr>
              <w:spacing w:after="20"/>
            </w:pPr>
            <w:r>
              <w:rPr>
                <w:rFonts w:ascii="Arial" w:hAnsi="Arial"/>
                <w:color w:val="172019"/>
                <w:sz w:val="15"/>
              </w:rPr>
              <w:t>Research and decisions</w:t>
            </w:r>
          </w:p>
        </w:tc>
        <w:tc>
          <w:tcPr>
            <w:tcW w:type="dxa" w:w="3672"/>
            <w:vAlign w:val="top"/>
          </w:tcPr>
          <w:p>
            <w:pPr>
              <w:spacing w:after="20"/>
            </w:pPr>
            <w:r>
              <w:rPr>
                <w:rFonts w:ascii="Arial" w:hAnsi="Arial"/>
                <w:color w:val="172019"/>
                <w:sz w:val="15"/>
              </w:rPr>
              <w:t>Research, audit, verdict, synthesize</w:t>
            </w:r>
          </w:p>
        </w:tc>
        <w:tc>
          <w:tcPr>
            <w:tcW w:type="dxa" w:w="4176"/>
            <w:vAlign w:val="top"/>
          </w:tcPr>
          <w:p>
            <w:pPr>
              <w:spacing w:after="20"/>
            </w:pPr>
            <w:r>
              <w:rPr>
                <w:rFonts w:ascii="Arial" w:hAnsi="Arial"/>
                <w:color w:val="172019"/>
                <w:sz w:val="15"/>
              </w:rPr>
              <w:t>BP-STAGE1-01 · BP-AUDIT-01 · BP-VERDICT-01 · BP-SYNTH-01</w:t>
            </w:r>
          </w:p>
        </w:tc>
      </w:tr>
      <w:tr>
        <w:tc>
          <w:tcPr>
            <w:tcW w:type="dxa" w:w="1800"/>
            <w:shd w:fill="F6F7F5"/>
            <w:vAlign w:val="top"/>
          </w:tcPr>
          <w:p>
            <w:pPr>
              <w:spacing w:after="20"/>
            </w:pPr>
            <w:r>
              <w:rPr>
                <w:rFonts w:ascii="Arial" w:hAnsi="Arial"/>
                <w:color w:val="172019"/>
                <w:sz w:val="15"/>
              </w:rPr>
              <w:t>Quality and interaction</w:t>
            </w:r>
          </w:p>
        </w:tc>
        <w:tc>
          <w:tcPr>
            <w:tcW w:type="dxa" w:w="3672"/>
            <w:shd w:fill="F6F7F5"/>
            <w:vAlign w:val="top"/>
          </w:tcPr>
          <w:p>
            <w:pPr>
              <w:spacing w:after="20"/>
            </w:pPr>
            <w:r>
              <w:rPr>
                <w:rFonts w:ascii="Arial" w:hAnsi="Arial"/>
                <w:color w:val="172019"/>
                <w:sz w:val="15"/>
              </w:rPr>
              <w:t>Critique once, contextual chat, targeted rerun</w:t>
            </w:r>
          </w:p>
        </w:tc>
        <w:tc>
          <w:tcPr>
            <w:tcW w:type="dxa" w:w="4176"/>
            <w:shd w:fill="F6F7F5"/>
            <w:vAlign w:val="top"/>
          </w:tcPr>
          <w:p>
            <w:pPr>
              <w:spacing w:after="20"/>
            </w:pPr>
            <w:r>
              <w:rPr>
                <w:rFonts w:ascii="Arial" w:hAnsi="Arial"/>
                <w:color w:val="172019"/>
                <w:sz w:val="15"/>
              </w:rPr>
              <w:t>BP-QA-01 · BP-CHAT-01 · BP-RERUN-01</w:t>
            </w:r>
          </w:p>
        </w:tc>
      </w:tr>
      <w:tr>
        <w:tc>
          <w:tcPr>
            <w:tcW w:type="dxa" w:w="1800"/>
            <w:vAlign w:val="top"/>
          </w:tcPr>
          <w:p>
            <w:pPr>
              <w:spacing w:after="20"/>
            </w:pPr>
            <w:r>
              <w:rPr>
                <w:rFonts w:ascii="Arial" w:hAnsi="Arial"/>
                <w:color w:val="172019"/>
                <w:sz w:val="15"/>
              </w:rPr>
              <w:t>Memory and resilience</w:t>
            </w:r>
          </w:p>
        </w:tc>
        <w:tc>
          <w:tcPr>
            <w:tcW w:type="dxa" w:w="3672"/>
            <w:vAlign w:val="top"/>
          </w:tcPr>
          <w:p>
            <w:pPr>
              <w:spacing w:after="20"/>
            </w:pPr>
            <w:r>
              <w:rPr>
                <w:rFonts w:ascii="Arial" w:hAnsi="Arial"/>
                <w:color w:val="172019"/>
                <w:sz w:val="15"/>
              </w:rPr>
              <w:t>Accepted evidence, confirmed memory, checkpoints, global errors</w:t>
            </w:r>
          </w:p>
        </w:tc>
        <w:tc>
          <w:tcPr>
            <w:tcW w:type="dxa" w:w="4176"/>
            <w:vAlign w:val="top"/>
          </w:tcPr>
          <w:p>
            <w:pPr>
              <w:spacing w:after="20"/>
            </w:pPr>
            <w:r>
              <w:rPr>
                <w:rFonts w:ascii="Arial" w:hAnsi="Arial"/>
                <w:color w:val="172019"/>
                <w:sz w:val="15"/>
              </w:rPr>
              <w:t>BP-PINE-01 · BP-MEM0-01 · BP-HITL-01 · BP-90</w:t>
            </w:r>
          </w:p>
        </w:tc>
      </w:tr>
    </w:tbl>
    <w:p>
      <w:pPr>
        <w:spacing w:after="0"/>
      </w:pPr>
    </w:p>
    <w:p>
      <w:r>
        <w:br w:type="page"/>
      </w:r>
    </w:p>
    <w:p>
      <w:pPr>
        <w:pStyle w:val="BlueprintKicker"/>
        <w:keepNext/>
      </w:pPr>
      <w:r>
        <w:rPr>
          <w:rFonts w:ascii="Arial" w:hAnsi="Arial"/>
          <w:b w:val="0"/>
        </w:rPr>
        <w:t>04 / SPECIALISTS</w:t>
      </w:r>
    </w:p>
    <w:p>
      <w:pPr>
        <w:pStyle w:val="Heading1"/>
        <w:keepNext/>
      </w:pPr>
      <w:r>
        <w:t>Agents and handoffs</w:t>
      </w:r>
    </w:p>
    <w:p>
      <w:pPr>
        <w:jc w:val="center"/>
      </w:pPr>
      <w:r>
        <w:drawing>
          <wp:inline xmlns:a="http://schemas.openxmlformats.org/drawingml/2006/main" xmlns:pic="http://schemas.openxmlformats.org/drawingml/2006/picture">
            <wp:extent cx="6355080" cy="3283458"/>
            <wp:docPr id="3" name="Picture 3"/>
            <wp:cNvGraphicFramePr>
              <a:graphicFrameLocks noChangeAspect="1"/>
            </wp:cNvGraphicFramePr>
            <a:graphic>
              <a:graphicData uri="http://schemas.openxmlformats.org/drawingml/2006/picture">
                <pic:pic>
                  <pic:nvPicPr>
                    <pic:cNvPr id="0" name="03_agent_map.png"/>
                    <pic:cNvPicPr/>
                  </pic:nvPicPr>
                  <pic:blipFill>
                    <a:blip r:embed="rId13"/>
                    <a:stretch>
                      <a:fillRect/>
                    </a:stretch>
                  </pic:blipFill>
                  <pic:spPr>
                    <a:xfrm>
                      <a:off x="0" y="0"/>
                      <a:ext cx="6355080" cy="3283458"/>
                    </a:xfrm>
                    <a:prstGeom prst="rect"/>
                  </pic:spPr>
                </pic:pic>
              </a:graphicData>
            </a:graphic>
          </wp:inline>
        </w:drawing>
      </w:r>
    </w:p>
    <w:p>
      <w:pPr>
        <w:pStyle w:val="BlueprintCaption"/>
        <w:jc w:val="center"/>
        <w:keepLines/>
      </w:pPr>
      <w:r>
        <w:rPr>
          <w:rFonts w:ascii="Arial" w:hAnsi="Arial"/>
          <w:b w:val="0"/>
        </w:rPr>
        <w:t>Figure 3. A supervisor-led hierarchy keeps roles narrow and makes handoffs auditable.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73C2A"/>
            <w:vAlign w:val="center"/>
          </w:tcPr>
          <w:p>
            <w:pPr>
              <w:spacing w:after="0"/>
            </w:pPr>
            <w:r>
              <w:rPr>
                <w:rFonts w:ascii="Arial" w:hAnsi="Arial"/>
                <w:b/>
                <w:color w:val="FFFFFF"/>
                <w:sz w:val="14"/>
              </w:rPr>
              <w:t>Agent / component</w:t>
            </w:r>
          </w:p>
        </w:tc>
        <w:tc>
          <w:tcPr>
            <w:tcW w:type="dxa" w:w="2520"/>
            <w:shd w:fill="173C2A"/>
            <w:vAlign w:val="center"/>
          </w:tcPr>
          <w:p>
            <w:pPr>
              <w:spacing w:after="0"/>
            </w:pPr>
            <w:r>
              <w:rPr>
                <w:rFonts w:ascii="Arial" w:hAnsi="Arial"/>
                <w:b/>
                <w:color w:val="FFFFFF"/>
                <w:sz w:val="14"/>
              </w:rPr>
              <w:t>Main job</w:t>
            </w:r>
          </w:p>
        </w:tc>
        <w:tc>
          <w:tcPr>
            <w:tcW w:type="dxa" w:w="2520"/>
            <w:shd w:fill="173C2A"/>
            <w:vAlign w:val="center"/>
          </w:tcPr>
          <w:p>
            <w:pPr>
              <w:spacing w:after="0"/>
            </w:pPr>
            <w:r>
              <w:rPr>
                <w:rFonts w:ascii="Arial" w:hAnsi="Arial"/>
                <w:b/>
                <w:color w:val="FFFFFF"/>
                <w:sz w:val="14"/>
              </w:rPr>
              <w:t>Tools / inputs</w:t>
            </w:r>
          </w:p>
        </w:tc>
        <w:tc>
          <w:tcPr>
            <w:tcW w:type="dxa" w:w="2952"/>
            <w:shd w:fill="173C2A"/>
            <w:vAlign w:val="center"/>
          </w:tcPr>
          <w:p>
            <w:pPr>
              <w:spacing w:after="0"/>
            </w:pPr>
            <w:r>
              <w:rPr>
                <w:rFonts w:ascii="Arial" w:hAnsi="Arial"/>
                <w:b/>
                <w:color w:val="FFFFFF"/>
                <w:sz w:val="14"/>
              </w:rPr>
              <w:t>Returns</w:t>
            </w:r>
          </w:p>
        </w:tc>
      </w:tr>
      <w:tr>
        <w:tc>
          <w:tcPr>
            <w:tcW w:type="dxa" w:w="1800"/>
            <w:vAlign w:val="top"/>
          </w:tcPr>
          <w:p>
            <w:pPr>
              <w:spacing w:after="20"/>
            </w:pPr>
            <w:r>
              <w:rPr>
                <w:rFonts w:ascii="Arial" w:hAnsi="Arial"/>
                <w:color w:val="172019"/>
                <w:sz w:val="14"/>
              </w:rPr>
              <w:t>Dynamic Evidence Supervisor</w:t>
            </w:r>
          </w:p>
        </w:tc>
        <w:tc>
          <w:tcPr>
            <w:tcW w:type="dxa" w:w="2520"/>
            <w:vAlign w:val="top"/>
          </w:tcPr>
          <w:p>
            <w:pPr>
              <w:spacing w:after="20"/>
            </w:pPr>
            <w:r>
              <w:rPr>
                <w:rFonts w:ascii="Arial" w:hAnsi="Arial"/>
                <w:color w:val="172019"/>
                <w:sz w:val="14"/>
              </w:rPr>
              <w:t>Choose the next safe route</w:t>
            </w:r>
          </w:p>
        </w:tc>
        <w:tc>
          <w:tcPr>
            <w:tcW w:type="dxa" w:w="2520"/>
            <w:vAlign w:val="top"/>
          </w:tcPr>
          <w:p>
            <w:pPr>
              <w:spacing w:after="20"/>
            </w:pPr>
            <w:r>
              <w:rPr>
                <w:rFonts w:ascii="Arial" w:hAnsi="Arial"/>
                <w:color w:val="172019"/>
                <w:sz w:val="14"/>
              </w:rPr>
              <w:t>Canonical state, counters, checkpoints</w:t>
            </w:r>
          </w:p>
        </w:tc>
        <w:tc>
          <w:tcPr>
            <w:tcW w:type="dxa" w:w="2952"/>
            <w:vAlign w:val="top"/>
          </w:tcPr>
          <w:p>
            <w:pPr>
              <w:spacing w:after="20"/>
            </w:pPr>
            <w:r>
              <w:rPr>
                <w:rFonts w:ascii="Arial" w:hAnsi="Arial"/>
                <w:color w:val="172019"/>
                <w:sz w:val="14"/>
              </w:rPr>
              <w:t>Route, rationale, evidence refs, next-state contract</w:t>
            </w:r>
          </w:p>
        </w:tc>
      </w:tr>
      <w:tr>
        <w:tc>
          <w:tcPr>
            <w:tcW w:type="dxa" w:w="1800"/>
            <w:shd w:fill="F6F7F5"/>
            <w:vAlign w:val="top"/>
          </w:tcPr>
          <w:p>
            <w:pPr>
              <w:spacing w:after="20"/>
            </w:pPr>
            <w:r>
              <w:rPr>
                <w:rFonts w:ascii="Arial" w:hAnsi="Arial"/>
                <w:color w:val="172019"/>
                <w:sz w:val="14"/>
              </w:rPr>
              <w:t>Idea Framer</w:t>
            </w:r>
          </w:p>
        </w:tc>
        <w:tc>
          <w:tcPr>
            <w:tcW w:type="dxa" w:w="2520"/>
            <w:shd w:fill="F6F7F5"/>
            <w:vAlign w:val="top"/>
          </w:tcPr>
          <w:p>
            <w:pPr>
              <w:spacing w:after="20"/>
            </w:pPr>
            <w:r>
              <w:rPr>
                <w:rFonts w:ascii="Arial" w:hAnsi="Arial"/>
                <w:color w:val="172019"/>
                <w:sz w:val="14"/>
              </w:rPr>
              <w:t>Turn onboarding into a testable problem frame</w:t>
            </w:r>
          </w:p>
        </w:tc>
        <w:tc>
          <w:tcPr>
            <w:tcW w:type="dxa" w:w="2520"/>
            <w:shd w:fill="F6F7F5"/>
            <w:vAlign w:val="top"/>
          </w:tcPr>
          <w:p>
            <w:pPr>
              <w:spacing w:after="20"/>
            </w:pPr>
            <w:r>
              <w:rPr>
                <w:rFonts w:ascii="Arial" w:hAnsi="Arial"/>
                <w:color w:val="172019"/>
                <w:sz w:val="14"/>
              </w:rPr>
              <w:t>Founder answers</w:t>
            </w:r>
          </w:p>
        </w:tc>
        <w:tc>
          <w:tcPr>
            <w:tcW w:type="dxa" w:w="2952"/>
            <w:shd w:fill="F6F7F5"/>
            <w:vAlign w:val="top"/>
          </w:tcPr>
          <w:p>
            <w:pPr>
              <w:spacing w:after="20"/>
            </w:pPr>
            <w:r>
              <w:rPr>
                <w:rFonts w:ascii="Arial" w:hAnsi="Arial"/>
                <w:color w:val="172019"/>
                <w:sz w:val="14"/>
              </w:rPr>
              <w:t>Problem, goal, constraints, assumptions, missing inputs</w:t>
            </w:r>
          </w:p>
        </w:tc>
      </w:tr>
      <w:tr>
        <w:tc>
          <w:tcPr>
            <w:tcW w:type="dxa" w:w="1800"/>
            <w:vAlign w:val="top"/>
          </w:tcPr>
          <w:p>
            <w:pPr>
              <w:spacing w:after="20"/>
            </w:pPr>
            <w:r>
              <w:rPr>
                <w:rFonts w:ascii="Arial" w:hAnsi="Arial"/>
                <w:color w:val="172019"/>
                <w:sz w:val="14"/>
              </w:rPr>
              <w:t>Research Planner</w:t>
            </w:r>
          </w:p>
        </w:tc>
        <w:tc>
          <w:tcPr>
            <w:tcW w:type="dxa" w:w="2520"/>
            <w:vAlign w:val="top"/>
          </w:tcPr>
          <w:p>
            <w:pPr>
              <w:spacing w:after="20"/>
            </w:pPr>
            <w:r>
              <w:rPr>
                <w:rFonts w:ascii="Arial" w:hAnsi="Arial"/>
                <w:color w:val="172019"/>
                <w:sz w:val="14"/>
              </w:rPr>
              <w:t>Build a dependency-aware module graph</w:t>
            </w:r>
          </w:p>
        </w:tc>
        <w:tc>
          <w:tcPr>
            <w:tcW w:type="dxa" w:w="2520"/>
            <w:vAlign w:val="top"/>
          </w:tcPr>
          <w:p>
            <w:pPr>
              <w:spacing w:after="20"/>
            </w:pPr>
            <w:r>
              <w:rPr>
                <w:rFonts w:ascii="Arial" w:hAnsi="Arial"/>
                <w:color w:val="172019"/>
                <w:sz w:val="14"/>
              </w:rPr>
              <w:t>Profile, selected research, gates</w:t>
            </w:r>
          </w:p>
        </w:tc>
        <w:tc>
          <w:tcPr>
            <w:tcW w:type="dxa" w:w="2952"/>
            <w:vAlign w:val="top"/>
          </w:tcPr>
          <w:p>
            <w:pPr>
              <w:spacing w:after="20"/>
            </w:pPr>
            <w:r>
              <w:rPr>
                <w:rFonts w:ascii="Arial" w:hAnsi="Arial"/>
                <w:color w:val="172019"/>
                <w:sz w:val="14"/>
              </w:rPr>
              <w:t>Eligible tasks, dependencies, budgets</w:t>
            </w:r>
          </w:p>
        </w:tc>
      </w:tr>
      <w:tr>
        <w:tc>
          <w:tcPr>
            <w:tcW w:type="dxa" w:w="1800"/>
            <w:shd w:fill="F6F7F5"/>
            <w:vAlign w:val="top"/>
          </w:tcPr>
          <w:p>
            <w:pPr>
              <w:spacing w:after="20"/>
            </w:pPr>
            <w:r>
              <w:rPr>
                <w:rFonts w:ascii="Arial" w:hAnsi="Arial"/>
                <w:color w:val="172019"/>
                <w:sz w:val="14"/>
              </w:rPr>
              <w:t>Customer Demand</w:t>
            </w:r>
          </w:p>
        </w:tc>
        <w:tc>
          <w:tcPr>
            <w:tcW w:type="dxa" w:w="2520"/>
            <w:shd w:fill="F6F7F5"/>
            <w:vAlign w:val="top"/>
          </w:tcPr>
          <w:p>
            <w:pPr>
              <w:spacing w:after="20"/>
            </w:pPr>
            <w:r>
              <w:rPr>
                <w:rFonts w:ascii="Arial" w:hAnsi="Arial"/>
                <w:color w:val="172019"/>
                <w:sz w:val="14"/>
              </w:rPr>
              <w:t>Find pains, workarounds, segments, WTP signals</w:t>
            </w:r>
          </w:p>
        </w:tc>
        <w:tc>
          <w:tcPr>
            <w:tcW w:type="dxa" w:w="2520"/>
            <w:shd w:fill="F6F7F5"/>
            <w:vAlign w:val="top"/>
          </w:tcPr>
          <w:p>
            <w:pPr>
              <w:spacing w:after="20"/>
            </w:pPr>
            <w:r>
              <w:rPr>
                <w:rFonts w:ascii="Arial" w:hAnsi="Arial"/>
                <w:color w:val="172019"/>
                <w:sz w:val="14"/>
              </w:rPr>
              <w:t>You.com/public web</w:t>
            </w:r>
          </w:p>
        </w:tc>
        <w:tc>
          <w:tcPr>
            <w:tcW w:type="dxa" w:w="2952"/>
            <w:shd w:fill="F6F7F5"/>
            <w:vAlign w:val="top"/>
          </w:tcPr>
          <w:p>
            <w:pPr>
              <w:spacing w:after="20"/>
            </w:pPr>
            <w:r>
              <w:rPr>
                <w:rFonts w:ascii="Arial" w:hAnsi="Arial"/>
                <w:color w:val="172019"/>
                <w:sz w:val="14"/>
              </w:rPr>
              <w:t>Claims, evidence, unknowns, next probes</w:t>
            </w:r>
          </w:p>
        </w:tc>
      </w:tr>
      <w:tr>
        <w:tc>
          <w:tcPr>
            <w:tcW w:type="dxa" w:w="1800"/>
            <w:vAlign w:val="top"/>
          </w:tcPr>
          <w:p>
            <w:pPr>
              <w:spacing w:after="20"/>
            </w:pPr>
            <w:r>
              <w:rPr>
                <w:rFonts w:ascii="Arial" w:hAnsi="Arial"/>
                <w:color w:val="172019"/>
                <w:sz w:val="14"/>
              </w:rPr>
              <w:t>Competitor Intelligence</w:t>
            </w:r>
          </w:p>
        </w:tc>
        <w:tc>
          <w:tcPr>
            <w:tcW w:type="dxa" w:w="2520"/>
            <w:vAlign w:val="top"/>
          </w:tcPr>
          <w:p>
            <w:pPr>
              <w:spacing w:after="20"/>
            </w:pPr>
            <w:r>
              <w:rPr>
                <w:rFonts w:ascii="Arial" w:hAnsi="Arial"/>
                <w:color w:val="172019"/>
                <w:sz w:val="14"/>
              </w:rPr>
              <w:t>Map direct/indirect alternatives and gaps</w:t>
            </w:r>
          </w:p>
        </w:tc>
        <w:tc>
          <w:tcPr>
            <w:tcW w:type="dxa" w:w="2520"/>
            <w:vAlign w:val="top"/>
          </w:tcPr>
          <w:p>
            <w:pPr>
              <w:spacing w:after="20"/>
            </w:pPr>
            <w:r>
              <w:rPr>
                <w:rFonts w:ascii="Arial" w:hAnsi="Arial"/>
                <w:color w:val="172019"/>
                <w:sz w:val="14"/>
              </w:rPr>
              <w:t>Websites, reviews, directories</w:t>
            </w:r>
          </w:p>
        </w:tc>
        <w:tc>
          <w:tcPr>
            <w:tcW w:type="dxa" w:w="2952"/>
            <w:vAlign w:val="top"/>
          </w:tcPr>
          <w:p>
            <w:pPr>
              <w:spacing w:after="20"/>
            </w:pPr>
            <w:r>
              <w:rPr>
                <w:rFonts w:ascii="Arial" w:hAnsi="Arial"/>
                <w:color w:val="172019"/>
                <w:sz w:val="14"/>
              </w:rPr>
              <w:t>Comparison matrix, complaints, opportunity gaps</w:t>
            </w:r>
          </w:p>
        </w:tc>
      </w:tr>
      <w:tr>
        <w:tc>
          <w:tcPr>
            <w:tcW w:type="dxa" w:w="1800"/>
            <w:shd w:fill="F6F7F5"/>
            <w:vAlign w:val="top"/>
          </w:tcPr>
          <w:p>
            <w:pPr>
              <w:spacing w:after="20"/>
            </w:pPr>
            <w:r>
              <w:rPr>
                <w:rFonts w:ascii="Arial" w:hAnsi="Arial"/>
                <w:color w:val="172019"/>
                <w:sz w:val="14"/>
              </w:rPr>
              <w:t>Market &amp; Economics</w:t>
            </w:r>
          </w:p>
        </w:tc>
        <w:tc>
          <w:tcPr>
            <w:tcW w:type="dxa" w:w="2520"/>
            <w:shd w:fill="F6F7F5"/>
            <w:vAlign w:val="top"/>
          </w:tcPr>
          <w:p>
            <w:pPr>
              <w:spacing w:after="20"/>
            </w:pPr>
            <w:r>
              <w:rPr>
                <w:rFonts w:ascii="Arial" w:hAnsi="Arial"/>
                <w:color w:val="172019"/>
                <w:sz w:val="14"/>
              </w:rPr>
              <w:t>Assess market dynamics and deterministic scenarios</w:t>
            </w:r>
          </w:p>
        </w:tc>
        <w:tc>
          <w:tcPr>
            <w:tcW w:type="dxa" w:w="2520"/>
            <w:shd w:fill="F6F7F5"/>
            <w:vAlign w:val="top"/>
          </w:tcPr>
          <w:p>
            <w:pPr>
              <w:spacing w:after="20"/>
            </w:pPr>
            <w:r>
              <w:rPr>
                <w:rFonts w:ascii="Arial" w:hAnsi="Arial"/>
                <w:color w:val="172019"/>
                <w:sz w:val="14"/>
              </w:rPr>
              <w:t>Public evidence + founder inputs</w:t>
            </w:r>
          </w:p>
        </w:tc>
        <w:tc>
          <w:tcPr>
            <w:tcW w:type="dxa" w:w="2952"/>
            <w:shd w:fill="F6F7F5"/>
            <w:vAlign w:val="top"/>
          </w:tcPr>
          <w:p>
            <w:pPr>
              <w:spacing w:after="20"/>
            </w:pPr>
            <w:r>
              <w:rPr>
                <w:rFonts w:ascii="Arial" w:hAnsi="Arial"/>
                <w:color w:val="172019"/>
                <w:sz w:val="14"/>
              </w:rPr>
              <w:t>Segments, trends, constraints, scenarios</w:t>
            </w:r>
          </w:p>
        </w:tc>
      </w:tr>
      <w:tr>
        <w:tc>
          <w:tcPr>
            <w:tcW w:type="dxa" w:w="1800"/>
            <w:vAlign w:val="top"/>
          </w:tcPr>
          <w:p>
            <w:pPr>
              <w:spacing w:after="20"/>
            </w:pPr>
            <w:r>
              <w:rPr>
                <w:rFonts w:ascii="Arial" w:hAnsi="Arial"/>
                <w:color w:val="172019"/>
                <w:sz w:val="14"/>
              </w:rPr>
              <w:t>Evidence Auditor</w:t>
            </w:r>
          </w:p>
        </w:tc>
        <w:tc>
          <w:tcPr>
            <w:tcW w:type="dxa" w:w="2520"/>
            <w:vAlign w:val="top"/>
          </w:tcPr>
          <w:p>
            <w:pPr>
              <w:spacing w:after="20"/>
            </w:pPr>
            <w:r>
              <w:rPr>
                <w:rFonts w:ascii="Arial" w:hAnsi="Arial"/>
                <w:color w:val="172019"/>
                <w:sz w:val="14"/>
              </w:rPr>
              <w:t>Independently accept, repair, or reject claims</w:t>
            </w:r>
          </w:p>
        </w:tc>
        <w:tc>
          <w:tcPr>
            <w:tcW w:type="dxa" w:w="2520"/>
            <w:vAlign w:val="top"/>
          </w:tcPr>
          <w:p>
            <w:pPr>
              <w:spacing w:after="20"/>
            </w:pPr>
            <w:r>
              <w:rPr>
                <w:rFonts w:ascii="Arial" w:hAnsi="Arial"/>
                <w:color w:val="172019"/>
                <w:sz w:val="14"/>
              </w:rPr>
              <w:t>Specialist observations + source metadata</w:t>
            </w:r>
          </w:p>
        </w:tc>
        <w:tc>
          <w:tcPr>
            <w:tcW w:type="dxa" w:w="2952"/>
            <w:vAlign w:val="top"/>
          </w:tcPr>
          <w:p>
            <w:pPr>
              <w:spacing w:after="20"/>
            </w:pPr>
            <w:r>
              <w:rPr>
                <w:rFonts w:ascii="Arial" w:hAnsi="Arial"/>
                <w:color w:val="172019"/>
                <w:sz w:val="14"/>
              </w:rPr>
              <w:t>Audit verdict, limitations, coverage</w:t>
            </w:r>
          </w:p>
        </w:tc>
      </w:tr>
      <w:tr>
        <w:tc>
          <w:tcPr>
            <w:tcW w:type="dxa" w:w="1800"/>
            <w:shd w:fill="F6F7F5"/>
            <w:vAlign w:val="top"/>
          </w:tcPr>
          <w:p>
            <w:pPr>
              <w:spacing w:after="20"/>
            </w:pPr>
            <w:r>
              <w:rPr>
                <w:rFonts w:ascii="Arial" w:hAnsi="Arial"/>
                <w:color w:val="172019"/>
                <w:sz w:val="14"/>
              </w:rPr>
              <w:t>Research Verdict</w:t>
            </w:r>
          </w:p>
        </w:tc>
        <w:tc>
          <w:tcPr>
            <w:tcW w:type="dxa" w:w="2520"/>
            <w:shd w:fill="F6F7F5"/>
            <w:vAlign w:val="top"/>
          </w:tcPr>
          <w:p>
            <w:pPr>
              <w:spacing w:after="20"/>
            </w:pPr>
            <w:r>
              <w:rPr>
                <w:rFonts w:ascii="Arial" w:hAnsi="Arial"/>
                <w:color w:val="172019"/>
                <w:sz w:val="14"/>
              </w:rPr>
              <w:t>Apply deterministic score and commercial ceiling</w:t>
            </w:r>
          </w:p>
        </w:tc>
        <w:tc>
          <w:tcPr>
            <w:tcW w:type="dxa" w:w="2520"/>
            <w:shd w:fill="F6F7F5"/>
            <w:vAlign w:val="top"/>
          </w:tcPr>
          <w:p>
            <w:pPr>
              <w:spacing w:after="20"/>
            </w:pPr>
            <w:r>
              <w:rPr>
                <w:rFonts w:ascii="Arial" w:hAnsi="Arial"/>
                <w:color w:val="172019"/>
                <w:sz w:val="14"/>
              </w:rPr>
              <w:t>Accepted evidence + contradictions</w:t>
            </w:r>
          </w:p>
        </w:tc>
        <w:tc>
          <w:tcPr>
            <w:tcW w:type="dxa" w:w="2952"/>
            <w:shd w:fill="F6F7F5"/>
            <w:vAlign w:val="top"/>
          </w:tcPr>
          <w:p>
            <w:pPr>
              <w:spacing w:after="20"/>
            </w:pPr>
            <w:r>
              <w:rPr>
                <w:rFonts w:ascii="Arial" w:hAnsi="Arial"/>
                <w:color w:val="172019"/>
                <w:sz w:val="14"/>
              </w:rPr>
              <w:t>Proceed/revise/pause/stop rationale</w:t>
            </w:r>
          </w:p>
        </w:tc>
      </w:tr>
      <w:tr>
        <w:tc>
          <w:tcPr>
            <w:tcW w:type="dxa" w:w="1800"/>
            <w:vAlign w:val="top"/>
          </w:tcPr>
          <w:p>
            <w:pPr>
              <w:spacing w:after="20"/>
            </w:pPr>
            <w:r>
              <w:rPr>
                <w:rFonts w:ascii="Arial" w:hAnsi="Arial"/>
                <w:color w:val="172019"/>
                <w:sz w:val="14"/>
              </w:rPr>
              <w:t>Blueprint Synthesizer</w:t>
            </w:r>
          </w:p>
        </w:tc>
        <w:tc>
          <w:tcPr>
            <w:tcW w:type="dxa" w:w="2520"/>
            <w:vAlign w:val="top"/>
          </w:tcPr>
          <w:p>
            <w:pPr>
              <w:spacing w:after="20"/>
            </w:pPr>
            <w:r>
              <w:rPr>
                <w:rFonts w:ascii="Arial" w:hAnsi="Arial"/>
                <w:color w:val="172019"/>
                <w:sz w:val="14"/>
              </w:rPr>
              <w:t>Create immutable research Blueprint version</w:t>
            </w:r>
          </w:p>
        </w:tc>
        <w:tc>
          <w:tcPr>
            <w:tcW w:type="dxa" w:w="2520"/>
            <w:vAlign w:val="top"/>
          </w:tcPr>
          <w:p>
            <w:pPr>
              <w:spacing w:after="20"/>
            </w:pPr>
            <w:r>
              <w:rPr>
                <w:rFonts w:ascii="Arial" w:hAnsi="Arial"/>
                <w:color w:val="172019"/>
                <w:sz w:val="14"/>
              </w:rPr>
              <w:t>Audited evidence + verdict</w:t>
            </w:r>
          </w:p>
        </w:tc>
        <w:tc>
          <w:tcPr>
            <w:tcW w:type="dxa" w:w="2952"/>
            <w:vAlign w:val="top"/>
          </w:tcPr>
          <w:p>
            <w:pPr>
              <w:spacing w:after="20"/>
            </w:pPr>
            <w:r>
              <w:rPr>
                <w:rFonts w:ascii="Arial" w:hAnsi="Arial"/>
                <w:color w:val="172019"/>
                <w:sz w:val="14"/>
              </w:rPr>
              <w:t>Structured sections, signals, actions, citations</w:t>
            </w:r>
          </w:p>
        </w:tc>
      </w:tr>
      <w:tr>
        <w:tc>
          <w:tcPr>
            <w:tcW w:type="dxa" w:w="1800"/>
            <w:shd w:fill="F6F7F5"/>
            <w:vAlign w:val="top"/>
          </w:tcPr>
          <w:p>
            <w:pPr>
              <w:spacing w:after="20"/>
            </w:pPr>
            <w:r>
              <w:rPr>
                <w:rFonts w:ascii="Arial" w:hAnsi="Arial"/>
                <w:color w:val="172019"/>
                <w:sz w:val="14"/>
              </w:rPr>
              <w:t>Quality Critic</w:t>
            </w:r>
          </w:p>
        </w:tc>
        <w:tc>
          <w:tcPr>
            <w:tcW w:type="dxa" w:w="2520"/>
            <w:shd w:fill="F6F7F5"/>
            <w:vAlign w:val="top"/>
          </w:tcPr>
          <w:p>
            <w:pPr>
              <w:spacing w:after="20"/>
            </w:pPr>
            <w:r>
              <w:rPr>
                <w:rFonts w:ascii="Arial" w:hAnsi="Arial"/>
                <w:color w:val="172019"/>
                <w:sz w:val="14"/>
              </w:rPr>
              <w:t>Evaluate and allow one bounded revision</w:t>
            </w:r>
          </w:p>
        </w:tc>
        <w:tc>
          <w:tcPr>
            <w:tcW w:type="dxa" w:w="2520"/>
            <w:shd w:fill="F6F7F5"/>
            <w:vAlign w:val="top"/>
          </w:tcPr>
          <w:p>
            <w:pPr>
              <w:spacing w:after="20"/>
            </w:pPr>
            <w:r>
              <w:rPr>
                <w:rFonts w:ascii="Arial" w:hAnsi="Arial"/>
                <w:color w:val="172019"/>
                <w:sz w:val="14"/>
              </w:rPr>
              <w:t>Blueprint + evidence allowlist</w:t>
            </w:r>
          </w:p>
        </w:tc>
        <w:tc>
          <w:tcPr>
            <w:tcW w:type="dxa" w:w="2952"/>
            <w:shd w:fill="F6F7F5"/>
            <w:vAlign w:val="top"/>
          </w:tcPr>
          <w:p>
            <w:pPr>
              <w:spacing w:after="20"/>
            </w:pPr>
            <w:r>
              <w:rPr>
                <w:rFonts w:ascii="Arial" w:hAnsi="Arial"/>
                <w:color w:val="172019"/>
                <w:sz w:val="14"/>
              </w:rPr>
              <w:t>Pass, revised output, warning, or partial</w:t>
            </w:r>
          </w:p>
        </w:tc>
      </w:tr>
      <w:tr>
        <w:tc>
          <w:tcPr>
            <w:tcW w:type="dxa" w:w="1800"/>
            <w:vAlign w:val="top"/>
          </w:tcPr>
          <w:p>
            <w:pPr>
              <w:spacing w:after="20"/>
            </w:pPr>
            <w:r>
              <w:rPr>
                <w:rFonts w:ascii="Arial" w:hAnsi="Arial"/>
                <w:color w:val="172019"/>
                <w:sz w:val="14"/>
              </w:rPr>
              <w:t>Research Copilot</w:t>
            </w:r>
          </w:p>
        </w:tc>
        <w:tc>
          <w:tcPr>
            <w:tcW w:type="dxa" w:w="2520"/>
            <w:vAlign w:val="top"/>
          </w:tcPr>
          <w:p>
            <w:pPr>
              <w:spacing w:after="20"/>
            </w:pPr>
            <w:r>
              <w:rPr>
                <w:rFonts w:ascii="Arial" w:hAnsi="Arial"/>
                <w:color w:val="172019"/>
                <w:sz w:val="14"/>
              </w:rPr>
              <w:t>Answer within the selected project section</w:t>
            </w:r>
          </w:p>
        </w:tc>
        <w:tc>
          <w:tcPr>
            <w:tcW w:type="dxa" w:w="2520"/>
            <w:vAlign w:val="top"/>
          </w:tcPr>
          <w:p>
            <w:pPr>
              <w:spacing w:after="20"/>
            </w:pPr>
            <w:r>
              <w:rPr>
                <w:rFonts w:ascii="Arial" w:hAnsi="Arial"/>
                <w:color w:val="172019"/>
                <w:sz w:val="14"/>
              </w:rPr>
              <w:t>Supabase + Pinecone evidence</w:t>
            </w:r>
          </w:p>
        </w:tc>
        <w:tc>
          <w:tcPr>
            <w:tcW w:type="dxa" w:w="2952"/>
            <w:vAlign w:val="top"/>
          </w:tcPr>
          <w:p>
            <w:pPr>
              <w:spacing w:after="20"/>
            </w:pPr>
            <w:r>
              <w:rPr>
                <w:rFonts w:ascii="Arial" w:hAnsi="Arial"/>
                <w:color w:val="172019"/>
                <w:sz w:val="14"/>
              </w:rPr>
              <w:t>Grounded answer, citations, next action, or refusal</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3EC"/>
            <w:tcBorders>
              <w:left w:val="single" w:sz="22" w:color="2F7D4F"/>
            </w:tcBorders>
            <w:vAlign w:val="center"/>
          </w:tcPr>
          <w:p>
            <w:pPr>
              <w:spacing w:before="120" w:after="120"/>
            </w:pPr>
            <w:r>
              <w:rPr>
                <w:rFonts w:ascii="Arial" w:hAnsi="Arial"/>
                <w:b/>
                <w:color w:val="173C2A"/>
                <w:sz w:val="20"/>
              </w:rPr>
              <w:t>Handoff rule</w:t>
              <w:br/>
            </w:r>
            <w:r>
              <w:rPr>
                <w:rFonts w:ascii="Arial" w:hAnsi="Arial"/>
                <w:color w:val="172019"/>
                <w:sz w:val="18"/>
              </w:rPr>
              <w:t>Agents exchange typed state—not conversational guesswork. Every handoff can include goal, profile version, dependency outputs, accepted evidence IDs, limitations, questions, counters, approval status, and a suggested next route. Unknown values remain unknown.</w:t>
            </w:r>
          </w:p>
        </w:tc>
      </w:tr>
    </w:tbl>
    <w:p>
      <w:pPr>
        <w:spacing w:after="0"/>
      </w:pPr>
    </w:p>
    <w:p>
      <w:r>
        <w:br w:type="page"/>
      </w:r>
    </w:p>
    <w:p>
      <w:pPr>
        <w:pStyle w:val="BlueprintKicker"/>
        <w:keepNext/>
      </w:pPr>
      <w:r>
        <w:rPr>
          <w:rFonts w:ascii="Arial" w:hAnsi="Arial"/>
          <w:b w:val="0"/>
        </w:rPr>
        <w:t>05 / THE AGENTIC LOOP</w:t>
      </w:r>
    </w:p>
    <w:p>
      <w:pPr>
        <w:pStyle w:val="Heading1"/>
        <w:keepNext/>
      </w:pPr>
      <w:r>
        <w:t>Dynamic orchestration and routing</w:t>
      </w:r>
    </w:p>
    <w:p>
      <w:pPr>
        <w:jc w:val="center"/>
      </w:pPr>
      <w:r>
        <w:drawing>
          <wp:inline xmlns:a="http://schemas.openxmlformats.org/drawingml/2006/main" xmlns:pic="http://schemas.openxmlformats.org/drawingml/2006/picture">
            <wp:extent cx="6355080" cy="3338535"/>
            <wp:docPr id="4" name="Picture 4"/>
            <wp:cNvGraphicFramePr>
              <a:graphicFrameLocks noChangeAspect="1"/>
            </wp:cNvGraphicFramePr>
            <a:graphic>
              <a:graphicData uri="http://schemas.openxmlformats.org/drawingml/2006/picture">
                <pic:pic>
                  <pic:nvPicPr>
                    <pic:cNvPr id="0" name="05_routing_loop.png"/>
                    <pic:cNvPicPr/>
                  </pic:nvPicPr>
                  <pic:blipFill>
                    <a:blip r:embed="rId14"/>
                    <a:stretch>
                      <a:fillRect/>
                    </a:stretch>
                  </pic:blipFill>
                  <pic:spPr>
                    <a:xfrm>
                      <a:off x="0" y="0"/>
                      <a:ext cx="6355080" cy="3338535"/>
                    </a:xfrm>
                    <a:prstGeom prst="rect"/>
                  </pic:spPr>
                </pic:pic>
              </a:graphicData>
            </a:graphic>
          </wp:inline>
        </w:drawing>
      </w:r>
    </w:p>
    <w:p>
      <w:pPr>
        <w:pStyle w:val="BlueprintCaption"/>
        <w:jc w:val="center"/>
        <w:keepLines/>
      </w:pPr>
      <w:r>
        <w:rPr>
          <w:rFonts w:ascii="Arial" w:hAnsi="Arial"/>
          <w:b w:val="0"/>
        </w:rPr>
        <w:t>Figure 4. The Supervisor closes the loop after every observation instead of assuming the next node.</w:t>
      </w:r>
    </w:p>
    <w:p>
      <w:pPr>
        <w:pStyle w:val="Heading2"/>
        <w:keepNext/>
      </w:pPr>
      <w:r>
        <w:t>Routing rules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73C2A"/>
            <w:vAlign w:val="center"/>
          </w:tcPr>
          <w:p>
            <w:pPr>
              <w:spacing w:after="0"/>
            </w:pPr>
            <w:r>
              <w:rPr>
                <w:rFonts w:ascii="Arial" w:hAnsi="Arial"/>
                <w:b/>
                <w:color w:val="FFFFFF"/>
                <w:sz w:val="15"/>
              </w:rPr>
              <w:t>Condition</w:t>
            </w:r>
          </w:p>
        </w:tc>
        <w:tc>
          <w:tcPr>
            <w:tcW w:type="dxa" w:w="2880"/>
            <w:shd w:fill="173C2A"/>
            <w:vAlign w:val="center"/>
          </w:tcPr>
          <w:p>
            <w:pPr>
              <w:spacing w:after="0"/>
            </w:pPr>
            <w:r>
              <w:rPr>
                <w:rFonts w:ascii="Arial" w:hAnsi="Arial"/>
                <w:b/>
                <w:color w:val="FFFFFF"/>
                <w:sz w:val="15"/>
              </w:rPr>
              <w:t>Route</w:t>
            </w:r>
          </w:p>
        </w:tc>
        <w:tc>
          <w:tcPr>
            <w:tcW w:type="dxa" w:w="3888"/>
            <w:shd w:fill="173C2A"/>
            <w:vAlign w:val="center"/>
          </w:tcPr>
          <w:p>
            <w:pPr>
              <w:spacing w:after="0"/>
            </w:pPr>
            <w:r>
              <w:rPr>
                <w:rFonts w:ascii="Arial" w:hAnsi="Arial"/>
                <w:b/>
                <w:color w:val="FFFFFF"/>
                <w:sz w:val="15"/>
              </w:rPr>
              <w:t>Why</w:t>
            </w:r>
          </w:p>
        </w:tc>
      </w:tr>
      <w:tr>
        <w:tc>
          <w:tcPr>
            <w:tcW w:type="dxa" w:w="2880"/>
            <w:vAlign w:val="top"/>
          </w:tcPr>
          <w:p>
            <w:pPr>
              <w:spacing w:after="20"/>
            </w:pPr>
            <w:r>
              <w:rPr>
                <w:rFonts w:ascii="Arial" w:hAnsi="Arial"/>
                <w:color w:val="172019"/>
                <w:sz w:val="15"/>
              </w:rPr>
              <w:t>Valid stage-eligible task exists</w:t>
            </w:r>
          </w:p>
        </w:tc>
        <w:tc>
          <w:tcPr>
            <w:tcW w:type="dxa" w:w="2880"/>
            <w:vAlign w:val="top"/>
          </w:tcPr>
          <w:p>
            <w:pPr>
              <w:spacing w:after="20"/>
            </w:pPr>
            <w:r>
              <w:rPr>
                <w:rFonts w:ascii="Arial" w:hAnsi="Arial"/>
                <w:color w:val="172019"/>
                <w:sz w:val="15"/>
              </w:rPr>
              <w:t>Dispatch specialist</w:t>
            </w:r>
          </w:p>
        </w:tc>
        <w:tc>
          <w:tcPr>
            <w:tcW w:type="dxa" w:w="3888"/>
            <w:vAlign w:val="top"/>
          </w:tcPr>
          <w:p>
            <w:pPr>
              <w:spacing w:after="20"/>
            </w:pPr>
            <w:r>
              <w:rPr>
                <w:rFonts w:ascii="Arial" w:hAnsi="Arial"/>
                <w:color w:val="172019"/>
                <w:sz w:val="15"/>
              </w:rPr>
              <w:t>Continue autonomously on read-only work</w:t>
            </w:r>
          </w:p>
        </w:tc>
      </w:tr>
      <w:tr>
        <w:tc>
          <w:tcPr>
            <w:tcW w:type="dxa" w:w="2880"/>
            <w:shd w:fill="F6F7F5"/>
            <w:vAlign w:val="top"/>
          </w:tcPr>
          <w:p>
            <w:pPr>
              <w:spacing w:after="20"/>
            </w:pPr>
            <w:r>
              <w:rPr>
                <w:rFonts w:ascii="Arial" w:hAnsi="Arial"/>
                <w:color w:val="172019"/>
                <w:sz w:val="15"/>
              </w:rPr>
              <w:t>Dependencies incomplete</w:t>
            </w:r>
          </w:p>
        </w:tc>
        <w:tc>
          <w:tcPr>
            <w:tcW w:type="dxa" w:w="2880"/>
            <w:shd w:fill="F6F7F5"/>
            <w:vAlign w:val="top"/>
          </w:tcPr>
          <w:p>
            <w:pPr>
              <w:spacing w:after="20"/>
            </w:pPr>
            <w:r>
              <w:rPr>
                <w:rFonts w:ascii="Arial" w:hAnsi="Arial"/>
                <w:color w:val="172019"/>
                <w:sz w:val="15"/>
              </w:rPr>
              <w:t>Wait or dispatch another eligible sibling</w:t>
            </w:r>
          </w:p>
        </w:tc>
        <w:tc>
          <w:tcPr>
            <w:tcW w:type="dxa" w:w="3888"/>
            <w:shd w:fill="F6F7F5"/>
            <w:vAlign w:val="top"/>
          </w:tcPr>
          <w:p>
            <w:pPr>
              <w:spacing w:after="20"/>
            </w:pPr>
            <w:r>
              <w:rPr>
                <w:rFonts w:ascii="Arial" w:hAnsi="Arial"/>
                <w:color w:val="172019"/>
                <w:sz w:val="15"/>
              </w:rPr>
              <w:t>Prevent out-of-order work</w:t>
            </w:r>
          </w:p>
        </w:tc>
      </w:tr>
      <w:tr>
        <w:tc>
          <w:tcPr>
            <w:tcW w:type="dxa" w:w="2880"/>
            <w:vAlign w:val="top"/>
          </w:tcPr>
          <w:p>
            <w:pPr>
              <w:spacing w:after="20"/>
            </w:pPr>
            <w:r>
              <w:rPr>
                <w:rFonts w:ascii="Arial" w:hAnsi="Arial"/>
                <w:color w:val="172019"/>
                <w:sz w:val="15"/>
              </w:rPr>
              <w:t>Missing founder input</w:t>
            </w:r>
          </w:p>
        </w:tc>
        <w:tc>
          <w:tcPr>
            <w:tcW w:type="dxa" w:w="2880"/>
            <w:vAlign w:val="top"/>
          </w:tcPr>
          <w:p>
            <w:pPr>
              <w:spacing w:after="20"/>
            </w:pPr>
            <w:r>
              <w:rPr>
                <w:rFonts w:ascii="Arial" w:hAnsi="Arial"/>
                <w:color w:val="172019"/>
                <w:sz w:val="15"/>
              </w:rPr>
              <w:t>Needs input</w:t>
            </w:r>
          </w:p>
        </w:tc>
        <w:tc>
          <w:tcPr>
            <w:tcW w:type="dxa" w:w="3888"/>
            <w:vAlign w:val="top"/>
          </w:tcPr>
          <w:p>
            <w:pPr>
              <w:spacing w:after="20"/>
            </w:pPr>
            <w:r>
              <w:rPr>
                <w:rFonts w:ascii="Arial" w:hAnsi="Arial"/>
                <w:color w:val="172019"/>
                <w:sz w:val="15"/>
              </w:rPr>
              <w:t>Do not invent goals, budgets, or decisions</w:t>
            </w:r>
          </w:p>
        </w:tc>
      </w:tr>
      <w:tr>
        <w:tc>
          <w:tcPr>
            <w:tcW w:type="dxa" w:w="2880"/>
            <w:shd w:fill="F6F7F5"/>
            <w:vAlign w:val="top"/>
          </w:tcPr>
          <w:p>
            <w:pPr>
              <w:spacing w:after="20"/>
            </w:pPr>
            <w:r>
              <w:rPr>
                <w:rFonts w:ascii="Arial" w:hAnsi="Arial"/>
                <w:color w:val="172019"/>
                <w:sz w:val="15"/>
              </w:rPr>
              <w:t>Contradictory evidence</w:t>
            </w:r>
          </w:p>
        </w:tc>
        <w:tc>
          <w:tcPr>
            <w:tcW w:type="dxa" w:w="2880"/>
            <w:shd w:fill="F6F7F5"/>
            <w:vAlign w:val="top"/>
          </w:tcPr>
          <w:p>
            <w:pPr>
              <w:spacing w:after="20"/>
            </w:pPr>
            <w:r>
              <w:rPr>
                <w:rFonts w:ascii="Arial" w:hAnsi="Arial"/>
                <w:color w:val="172019"/>
                <w:sz w:val="15"/>
              </w:rPr>
              <w:t>Contradiction review / targeted repair</w:t>
            </w:r>
          </w:p>
        </w:tc>
        <w:tc>
          <w:tcPr>
            <w:tcW w:type="dxa" w:w="3888"/>
            <w:shd w:fill="F6F7F5"/>
            <w:vAlign w:val="top"/>
          </w:tcPr>
          <w:p>
            <w:pPr>
              <w:spacing w:after="20"/>
            </w:pPr>
            <w:r>
              <w:rPr>
                <w:rFonts w:ascii="Arial" w:hAnsi="Arial"/>
                <w:color w:val="172019"/>
                <w:sz w:val="15"/>
              </w:rPr>
              <w:t>Preserve disagreement until reconciled</w:t>
            </w:r>
          </w:p>
        </w:tc>
      </w:tr>
      <w:tr>
        <w:tc>
          <w:tcPr>
            <w:tcW w:type="dxa" w:w="2880"/>
            <w:vAlign w:val="top"/>
          </w:tcPr>
          <w:p>
            <w:pPr>
              <w:spacing w:after="20"/>
            </w:pPr>
            <w:r>
              <w:rPr>
                <w:rFonts w:ascii="Arial" w:hAnsi="Arial"/>
                <w:color w:val="172019"/>
                <w:sz w:val="15"/>
              </w:rPr>
              <w:t>Retryable provider/tool failure</w:t>
            </w:r>
          </w:p>
        </w:tc>
        <w:tc>
          <w:tcPr>
            <w:tcW w:type="dxa" w:w="2880"/>
            <w:vAlign w:val="top"/>
          </w:tcPr>
          <w:p>
            <w:pPr>
              <w:spacing w:after="20"/>
            </w:pPr>
            <w:r>
              <w:rPr>
                <w:rFonts w:ascii="Arial" w:hAnsi="Arial"/>
                <w:color w:val="172019"/>
                <w:sz w:val="15"/>
              </w:rPr>
              <w:t>Bounded retry, then replan</w:t>
            </w:r>
          </w:p>
        </w:tc>
        <w:tc>
          <w:tcPr>
            <w:tcW w:type="dxa" w:w="3888"/>
            <w:vAlign w:val="top"/>
          </w:tcPr>
          <w:p>
            <w:pPr>
              <w:spacing w:after="20"/>
            </w:pPr>
            <w:r>
              <w:rPr>
                <w:rFonts w:ascii="Arial" w:hAnsi="Arial"/>
                <w:color w:val="172019"/>
                <w:sz w:val="15"/>
              </w:rPr>
              <w:t>Recover without infinite loops</w:t>
            </w:r>
          </w:p>
        </w:tc>
      </w:tr>
      <w:tr>
        <w:tc>
          <w:tcPr>
            <w:tcW w:type="dxa" w:w="2880"/>
            <w:shd w:fill="F6F7F5"/>
            <w:vAlign w:val="top"/>
          </w:tcPr>
          <w:p>
            <w:pPr>
              <w:spacing w:after="20"/>
            </w:pPr>
            <w:r>
              <w:rPr>
                <w:rFonts w:ascii="Arial" w:hAnsi="Arial"/>
                <w:color w:val="172019"/>
                <w:sz w:val="15"/>
              </w:rPr>
              <w:t>Non-retryable or budget exhausted</w:t>
            </w:r>
          </w:p>
        </w:tc>
        <w:tc>
          <w:tcPr>
            <w:tcW w:type="dxa" w:w="2880"/>
            <w:shd w:fill="F6F7F5"/>
            <w:vAlign w:val="top"/>
          </w:tcPr>
          <w:p>
            <w:pPr>
              <w:spacing w:after="20"/>
            </w:pPr>
            <w:r>
              <w:rPr>
                <w:rFonts w:ascii="Arial" w:hAnsi="Arial"/>
                <w:color w:val="172019"/>
                <w:sz w:val="15"/>
              </w:rPr>
              <w:t>Partial or safe failure</w:t>
            </w:r>
          </w:p>
        </w:tc>
        <w:tc>
          <w:tcPr>
            <w:tcW w:type="dxa" w:w="3888"/>
            <w:shd w:fill="F6F7F5"/>
            <w:vAlign w:val="top"/>
          </w:tcPr>
          <w:p>
            <w:pPr>
              <w:spacing w:after="20"/>
            </w:pPr>
            <w:r>
              <w:rPr>
                <w:rFonts w:ascii="Arial" w:hAnsi="Arial"/>
                <w:color w:val="172019"/>
                <w:sz w:val="15"/>
              </w:rPr>
              <w:t>Return useful completed siblings visibly</w:t>
            </w:r>
          </w:p>
        </w:tc>
      </w:tr>
      <w:tr>
        <w:tc>
          <w:tcPr>
            <w:tcW w:type="dxa" w:w="2880"/>
            <w:vAlign w:val="top"/>
          </w:tcPr>
          <w:p>
            <w:pPr>
              <w:spacing w:after="20"/>
            </w:pPr>
            <w:r>
              <w:rPr>
                <w:rFonts w:ascii="Arial" w:hAnsi="Arial"/>
                <w:color w:val="172019"/>
                <w:sz w:val="15"/>
              </w:rPr>
              <w:t>Gate reached</w:t>
            </w:r>
          </w:p>
        </w:tc>
        <w:tc>
          <w:tcPr>
            <w:tcW w:type="dxa" w:w="2880"/>
            <w:vAlign w:val="top"/>
          </w:tcPr>
          <w:p>
            <w:pPr>
              <w:spacing w:after="20"/>
            </w:pPr>
            <w:r>
              <w:rPr>
                <w:rFonts w:ascii="Arial" w:hAnsi="Arial"/>
                <w:color w:val="172019"/>
                <w:sz w:val="15"/>
              </w:rPr>
              <w:t>Founder checkpoint</w:t>
            </w:r>
          </w:p>
        </w:tc>
        <w:tc>
          <w:tcPr>
            <w:tcW w:type="dxa" w:w="3888"/>
            <w:vAlign w:val="top"/>
          </w:tcPr>
          <w:p>
            <w:pPr>
              <w:spacing w:after="20"/>
            </w:pPr>
            <w:r>
              <w:rPr>
                <w:rFonts w:ascii="Arial" w:hAnsi="Arial"/>
                <w:color w:val="172019"/>
                <w:sz w:val="15"/>
              </w:rPr>
              <w:t>Human owns proceed, revise, pause, or stop</w:t>
            </w:r>
          </w:p>
        </w:tc>
      </w:tr>
      <w:tr>
        <w:tc>
          <w:tcPr>
            <w:tcW w:type="dxa" w:w="2880"/>
            <w:shd w:fill="F6F7F5"/>
            <w:vAlign w:val="top"/>
          </w:tcPr>
          <w:p>
            <w:pPr>
              <w:spacing w:after="20"/>
            </w:pPr>
            <w:r>
              <w:rPr>
                <w:rFonts w:ascii="Arial" w:hAnsi="Arial"/>
                <w:color w:val="172019"/>
                <w:sz w:val="15"/>
              </w:rPr>
              <w:t>External write request</w:t>
            </w:r>
          </w:p>
        </w:tc>
        <w:tc>
          <w:tcPr>
            <w:tcW w:type="dxa" w:w="2880"/>
            <w:shd w:fill="F6F7F5"/>
            <w:vAlign w:val="top"/>
          </w:tcPr>
          <w:p>
            <w:pPr>
              <w:spacing w:after="20"/>
            </w:pPr>
            <w:r>
              <w:rPr>
                <w:rFonts w:ascii="Arial" w:hAnsi="Arial"/>
                <w:color w:val="172019"/>
                <w:sz w:val="15"/>
              </w:rPr>
              <w:t>Policy denial</w:t>
            </w:r>
          </w:p>
        </w:tc>
        <w:tc>
          <w:tcPr>
            <w:tcW w:type="dxa" w:w="3888"/>
            <w:shd w:fill="F6F7F5"/>
            <w:vAlign w:val="top"/>
          </w:tcPr>
          <w:p>
            <w:pPr>
              <w:spacing w:after="20"/>
            </w:pPr>
            <w:r>
              <w:rPr>
                <w:rFonts w:ascii="Arial" w:hAnsi="Arial"/>
                <w:color w:val="172019"/>
                <w:sz w:val="15"/>
              </w:rPr>
              <w:t>V1 has no send/post/pay/delete authority</w:t>
            </w:r>
          </w:p>
        </w:tc>
      </w:tr>
    </w:tbl>
    <w:p>
      <w:pPr>
        <w:spacing w:after="0"/>
      </w:pPr>
    </w:p>
    <w:p>
      <w:pPr>
        <w:pStyle w:val="Heading2"/>
        <w:keepNext/>
      </w:pPr>
      <w:r>
        <w:t>Bounded feedback</w:t>
      </w:r>
    </w:p>
    <w:p>
      <w:r>
        <w:rPr>
          <w:rFonts w:ascii="Arial" w:hAnsi="Arial"/>
          <w:b w:val="0"/>
        </w:rPr>
        <w:t>The quality loop permits one revision. The critic supplies specific repair instructions and the same evidence allowlist; the reviser cannot introduce unsupported claims. The revised output is revalidated and re-criticized. If quality still fails, Blueprint returns a warning, partial completion, or human review—never a false pass.</w:t>
      </w:r>
    </w:p>
    <w:tbl>
      <w:tblPr>
        <w:tblW w:type="auto" w:w="0"/>
        <w:jc w:val="center"/>
        <w:tblLayout w:type="autofit"/>
        <w:tblLook w:firstColumn="1" w:firstRow="1" w:lastColumn="0" w:lastRow="0" w:noHBand="0" w:noVBand="1" w:val="04A0"/>
      </w:tblPr>
      <w:tblGrid>
        <w:gridCol w:w="10166"/>
      </w:tblGrid>
      <w:tr>
        <w:tc>
          <w:tcPr>
            <w:tcW w:type="dxa" w:w="10166"/>
            <w:shd w:fill="F7EEE8"/>
            <w:tcBorders>
              <w:left w:val="single" w:sz="22" w:color="2F7D4F"/>
            </w:tcBorders>
            <w:vAlign w:val="center"/>
          </w:tcPr>
          <w:p>
            <w:pPr>
              <w:spacing w:before="120" w:after="120"/>
            </w:pPr>
            <w:r>
              <w:rPr>
                <w:rFonts w:ascii="Arial" w:hAnsi="Arial"/>
                <w:b/>
                <w:color w:val="173C2A"/>
                <w:sz w:val="20"/>
              </w:rPr>
              <w:t>Learning without self-training</w:t>
              <w:br/>
            </w:r>
            <w:r>
              <w:rPr>
                <w:rFonts w:ascii="Arial" w:hAnsi="Arial"/>
                <w:color w:val="172019"/>
                <w:sz w:val="18"/>
              </w:rPr>
              <w:t>The system learns operationally by persisting decisions, corrections, accepted evidence, failure outcomes, and version impact. It does not retrain the model, fine-tune itself, or store private chain-of-thought. Future routes improve because state improves.</w:t>
            </w:r>
          </w:p>
        </w:tc>
      </w:tr>
    </w:tbl>
    <w:p>
      <w:pPr>
        <w:spacing w:after="0"/>
      </w:pPr>
    </w:p>
    <w:p>
      <w:r>
        <w:br w:type="page"/>
      </w:r>
    </w:p>
    <w:p>
      <w:pPr>
        <w:pStyle w:val="BlueprintKicker"/>
        <w:keepNext/>
      </w:pPr>
      <w:r>
        <w:rPr>
          <w:rFonts w:ascii="Arial" w:hAnsi="Arial"/>
          <w:b w:val="0"/>
        </w:rPr>
        <w:t>06 / USER FLOW</w:t>
      </w:r>
    </w:p>
    <w:p>
      <w:pPr>
        <w:pStyle w:val="Heading1"/>
        <w:keepNext/>
      </w:pPr>
      <w:r>
        <w:t>Founder journey and product states</w:t>
      </w:r>
    </w:p>
    <w:p>
      <w:pPr>
        <w:jc w:val="center"/>
      </w:pPr>
      <w:r>
        <w:drawing>
          <wp:inline xmlns:a="http://schemas.openxmlformats.org/drawingml/2006/main" xmlns:pic="http://schemas.openxmlformats.org/drawingml/2006/picture">
            <wp:extent cx="6355080" cy="3016545"/>
            <wp:docPr id="5" name="Picture 5"/>
            <wp:cNvGraphicFramePr>
              <a:graphicFrameLocks noChangeAspect="1"/>
            </wp:cNvGraphicFramePr>
            <a:graphic>
              <a:graphicData uri="http://schemas.openxmlformats.org/drawingml/2006/picture">
                <pic:pic>
                  <pic:nvPicPr>
                    <pic:cNvPr id="0" name="04_user_flow.png"/>
                    <pic:cNvPicPr/>
                  </pic:nvPicPr>
                  <pic:blipFill>
                    <a:blip r:embed="rId15"/>
                    <a:stretch>
                      <a:fillRect/>
                    </a:stretch>
                  </pic:blipFill>
                  <pic:spPr>
                    <a:xfrm>
                      <a:off x="0" y="0"/>
                      <a:ext cx="6355080" cy="3016545"/>
                    </a:xfrm>
                    <a:prstGeom prst="rect"/>
                  </pic:spPr>
                </pic:pic>
              </a:graphicData>
            </a:graphic>
          </wp:inline>
        </w:drawing>
      </w:r>
    </w:p>
    <w:p>
      <w:pPr>
        <w:pStyle w:val="BlueprintCaption"/>
        <w:jc w:val="center"/>
        <w:keepLines/>
      </w:pPr>
      <w:r>
        <w:rPr>
          <w:rFonts w:ascii="Arial" w:hAnsi="Arial"/>
          <w:b w:val="0"/>
        </w:rPr>
        <w:t>Figure 5. Stage 1 discovers; Stage 2 proves and designs; Stage 3 advises without executing the business.</w:t>
      </w:r>
    </w:p>
    <w:p>
      <w:pPr>
        <w:pStyle w:val="Heading2"/>
        <w:keepNext/>
      </w:pPr>
      <w:r>
        <w:t>Zero-friction entry</w:t>
      </w:r>
    </w:p>
    <w:p>
      <w:r>
        <w:rPr>
          <w:rFonts w:ascii="Arial" w:hAnsi="Arial"/>
          <w:b w:val="0"/>
        </w:rPr>
        <w:t>The evaluator lands directly on Blueprint. They enter an idea and complete a stable eight-step onboarding dialog. Customer, competitor, and market research are selected by default, but the founder can narrow the scope. Anonymous Supabase authentication happens invisibly and still preserves owner isolation.</w:t>
      </w:r>
    </w:p>
    <w:p>
      <w:pPr>
        <w:pStyle w:val="Heading2"/>
        <w:keepNext/>
      </w:pPr>
      <w:r>
        <w:t>Stage behavior</w:t>
      </w:r>
    </w:p>
    <w:p>
      <w:pPr>
        <w:pStyle w:val="ListBullet"/>
        <w:spacing w:after="60"/>
        <w:ind w:left="288" w:hanging="173"/>
      </w:pPr>
      <w:r>
        <w:rPr>
          <w:rFonts w:ascii="Arial" w:hAnsi="Arial"/>
          <w:sz w:val="18"/>
        </w:rPr>
        <w:t>Stage 1 runs foundation, customer, competitor, and market research, then audits and produces a research verdict.</w:t>
      </w:r>
    </w:p>
    <w:p>
      <w:pPr>
        <w:pStyle w:val="ListBullet"/>
        <w:spacing w:after="60"/>
        <w:ind w:left="288" w:hanging="173"/>
      </w:pPr>
      <w:r>
        <w:rPr>
          <w:rFonts w:ascii="Arial" w:hAnsi="Arial"/>
          <w:sz w:val="18"/>
        </w:rPr>
        <w:t>Gate 1 shows the verdict and why. The founder can inspect Stage 1, proceed, revise, pause, or stop.</w:t>
      </w:r>
    </w:p>
    <w:p>
      <w:pPr>
        <w:pStyle w:val="ListBullet"/>
        <w:spacing w:after="60"/>
        <w:ind w:left="288" w:hanging="173"/>
      </w:pPr>
      <w:r>
        <w:rPr>
          <w:rFonts w:ascii="Arial" w:hAnsi="Arial"/>
          <w:sz w:val="18"/>
        </w:rPr>
        <w:t>Stage 2 creates goal-specific proof and design modules only after Gate 1 allows them.</w:t>
      </w:r>
    </w:p>
    <w:p>
      <w:pPr>
        <w:pStyle w:val="ListBullet"/>
        <w:spacing w:after="60"/>
        <w:ind w:left="288" w:hanging="173"/>
      </w:pPr>
      <w:r>
        <w:rPr>
          <w:rFonts w:ascii="Arial" w:hAnsi="Arial"/>
          <w:sz w:val="18"/>
        </w:rPr>
        <w:t>Gate 2 decides whether the evidence is sufficient to generate the advisory action Blueprint.</w:t>
      </w:r>
    </w:p>
    <w:p>
      <w:pPr>
        <w:pStyle w:val="ListBullet"/>
        <w:spacing w:after="60"/>
        <w:ind w:left="288" w:hanging="173"/>
      </w:pPr>
      <w:r>
        <w:rPr>
          <w:rFonts w:ascii="Arial" w:hAnsi="Arial"/>
          <w:sz w:val="18"/>
        </w:rPr>
        <w:t>Stage 3 returns MVP scope, first-customer and distribution paths, financial boundaries, milestones, and growth prerequisites. It does not pretend to execute launch work or generate a weekly operating calendar.</w:t>
      </w:r>
    </w:p>
    <w:p>
      <w:pPr>
        <w:pStyle w:val="Heading2"/>
        <w:keepNext/>
      </w:pPr>
      <w:r>
        <w:t>Visible UI states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C2A"/>
            <w:vAlign w:val="center"/>
          </w:tcPr>
          <w:p>
            <w:pPr>
              <w:spacing w:after="0"/>
            </w:pPr>
            <w:r>
              <w:rPr>
                <w:rFonts w:ascii="Arial" w:hAnsi="Arial"/>
                <w:b/>
                <w:color w:val="FFFFFF"/>
                <w:sz w:val="15"/>
              </w:rPr>
              <w:t>State</w:t>
            </w:r>
          </w:p>
        </w:tc>
        <w:tc>
          <w:tcPr>
            <w:tcW w:type="dxa" w:w="3816"/>
            <w:shd w:fill="173C2A"/>
            <w:vAlign w:val="center"/>
          </w:tcPr>
          <w:p>
            <w:pPr>
              <w:spacing w:after="0"/>
            </w:pPr>
            <w:r>
              <w:rPr>
                <w:rFonts w:ascii="Arial" w:hAnsi="Arial"/>
                <w:b/>
                <w:color w:val="FFFFFF"/>
                <w:sz w:val="15"/>
              </w:rPr>
              <w:t>What the founder sees</w:t>
            </w:r>
          </w:p>
        </w:tc>
        <w:tc>
          <w:tcPr>
            <w:tcW w:type="dxa" w:w="3888"/>
            <w:shd w:fill="173C2A"/>
            <w:vAlign w:val="center"/>
          </w:tcPr>
          <w:p>
            <w:pPr>
              <w:spacing w:after="0"/>
            </w:pPr>
            <w:r>
              <w:rPr>
                <w:rFonts w:ascii="Arial" w:hAnsi="Arial"/>
                <w:b/>
                <w:color w:val="FFFFFF"/>
                <w:sz w:val="15"/>
              </w:rPr>
              <w:t>System behavior</w:t>
            </w:r>
          </w:p>
        </w:tc>
      </w:tr>
      <w:tr>
        <w:tc>
          <w:tcPr>
            <w:tcW w:type="dxa" w:w="1944"/>
            <w:vAlign w:val="top"/>
          </w:tcPr>
          <w:p>
            <w:pPr>
              <w:spacing w:after="20"/>
            </w:pPr>
            <w:r>
              <w:rPr>
                <w:rFonts w:ascii="Arial" w:hAnsi="Arial"/>
                <w:color w:val="172019"/>
                <w:sz w:val="15"/>
              </w:rPr>
              <w:t>Not started / locked</w:t>
            </w:r>
          </w:p>
        </w:tc>
        <w:tc>
          <w:tcPr>
            <w:tcW w:type="dxa" w:w="3816"/>
            <w:vAlign w:val="top"/>
          </w:tcPr>
          <w:p>
            <w:pPr>
              <w:spacing w:after="20"/>
            </w:pPr>
            <w:r>
              <w:rPr>
                <w:rFonts w:ascii="Arial" w:hAnsi="Arial"/>
                <w:color w:val="172019"/>
                <w:sz w:val="15"/>
              </w:rPr>
              <w:t>Neutral status marker and prerequisite</w:t>
            </w:r>
          </w:p>
        </w:tc>
        <w:tc>
          <w:tcPr>
            <w:tcW w:type="dxa" w:w="3888"/>
            <w:vAlign w:val="top"/>
          </w:tcPr>
          <w:p>
            <w:pPr>
              <w:spacing w:after="20"/>
            </w:pPr>
            <w:r>
              <w:rPr>
                <w:rFonts w:ascii="Arial" w:hAnsi="Arial"/>
                <w:color w:val="172019"/>
                <w:sz w:val="15"/>
              </w:rPr>
              <w:t>No hidden call</w:t>
            </w:r>
          </w:p>
        </w:tc>
      </w:tr>
      <w:tr>
        <w:tc>
          <w:tcPr>
            <w:tcW w:type="dxa" w:w="1944"/>
            <w:shd w:fill="F6F7F5"/>
            <w:vAlign w:val="top"/>
          </w:tcPr>
          <w:p>
            <w:pPr>
              <w:spacing w:after="20"/>
            </w:pPr>
            <w:r>
              <w:rPr>
                <w:rFonts w:ascii="Arial" w:hAnsi="Arial"/>
                <w:color w:val="172019"/>
                <w:sz w:val="15"/>
              </w:rPr>
              <w:t>Queued / running</w:t>
            </w:r>
          </w:p>
        </w:tc>
        <w:tc>
          <w:tcPr>
            <w:tcW w:type="dxa" w:w="3816"/>
            <w:shd w:fill="F6F7F5"/>
            <w:vAlign w:val="top"/>
          </w:tcPr>
          <w:p>
            <w:pPr>
              <w:spacing w:after="20"/>
            </w:pPr>
            <w:r>
              <w:rPr>
                <w:rFonts w:ascii="Arial" w:hAnsi="Arial"/>
                <w:color w:val="172019"/>
                <w:sz w:val="15"/>
              </w:rPr>
              <w:t>Local spinner on the active section</w:t>
            </w:r>
          </w:p>
        </w:tc>
        <w:tc>
          <w:tcPr>
            <w:tcW w:type="dxa" w:w="3888"/>
            <w:shd w:fill="F6F7F5"/>
            <w:vAlign w:val="top"/>
          </w:tcPr>
          <w:p>
            <w:pPr>
              <w:spacing w:after="20"/>
            </w:pPr>
            <w:r>
              <w:rPr>
                <w:rFonts w:ascii="Arial" w:hAnsi="Arial"/>
                <w:color w:val="172019"/>
                <w:sz w:val="15"/>
              </w:rPr>
              <w:t>Background orchestration continues</w:t>
            </w:r>
          </w:p>
        </w:tc>
      </w:tr>
      <w:tr>
        <w:tc>
          <w:tcPr>
            <w:tcW w:type="dxa" w:w="1944"/>
            <w:vAlign w:val="top"/>
          </w:tcPr>
          <w:p>
            <w:pPr>
              <w:spacing w:after="20"/>
            </w:pPr>
            <w:r>
              <w:rPr>
                <w:rFonts w:ascii="Arial" w:hAnsi="Arial"/>
                <w:color w:val="172019"/>
                <w:sz w:val="15"/>
              </w:rPr>
              <w:t>Completed</w:t>
            </w:r>
          </w:p>
        </w:tc>
        <w:tc>
          <w:tcPr>
            <w:tcW w:type="dxa" w:w="3816"/>
            <w:vAlign w:val="top"/>
          </w:tcPr>
          <w:p>
            <w:pPr>
              <w:spacing w:after="20"/>
            </w:pPr>
            <w:r>
              <w:rPr>
                <w:rFonts w:ascii="Arial" w:hAnsi="Arial"/>
                <w:color w:val="172019"/>
                <w:sz w:val="15"/>
              </w:rPr>
              <w:t>Green completion state and detailed output</w:t>
            </w:r>
          </w:p>
        </w:tc>
        <w:tc>
          <w:tcPr>
            <w:tcW w:type="dxa" w:w="3888"/>
            <w:vAlign w:val="top"/>
          </w:tcPr>
          <w:p>
            <w:pPr>
              <w:spacing w:after="20"/>
            </w:pPr>
            <w:r>
              <w:rPr>
                <w:rFonts w:ascii="Arial" w:hAnsi="Arial"/>
                <w:color w:val="172019"/>
                <w:sz w:val="15"/>
              </w:rPr>
              <w:t>Persisted, versioned result</w:t>
            </w:r>
          </w:p>
        </w:tc>
      </w:tr>
      <w:tr>
        <w:tc>
          <w:tcPr>
            <w:tcW w:type="dxa" w:w="1944"/>
            <w:shd w:fill="F6F7F5"/>
            <w:vAlign w:val="top"/>
          </w:tcPr>
          <w:p>
            <w:pPr>
              <w:spacing w:after="20"/>
            </w:pPr>
            <w:r>
              <w:rPr>
                <w:rFonts w:ascii="Arial" w:hAnsi="Arial"/>
                <w:color w:val="172019"/>
                <w:sz w:val="15"/>
              </w:rPr>
              <w:t>Needs input / contradictory</w:t>
            </w:r>
          </w:p>
        </w:tc>
        <w:tc>
          <w:tcPr>
            <w:tcW w:type="dxa" w:w="3816"/>
            <w:shd w:fill="F6F7F5"/>
            <w:vAlign w:val="top"/>
          </w:tcPr>
          <w:p>
            <w:pPr>
              <w:spacing w:after="20"/>
            </w:pPr>
            <w:r>
              <w:rPr>
                <w:rFonts w:ascii="Arial" w:hAnsi="Arial"/>
                <w:color w:val="172019"/>
                <w:sz w:val="15"/>
              </w:rPr>
              <w:t>Inline checkpoint with allowed choices</w:t>
            </w:r>
          </w:p>
        </w:tc>
        <w:tc>
          <w:tcPr>
            <w:tcW w:type="dxa" w:w="3888"/>
            <w:shd w:fill="F6F7F5"/>
            <w:vAlign w:val="top"/>
          </w:tcPr>
          <w:p>
            <w:pPr>
              <w:spacing w:after="20"/>
            </w:pPr>
            <w:r>
              <w:rPr>
                <w:rFonts w:ascii="Arial" w:hAnsi="Arial"/>
                <w:color w:val="172019"/>
                <w:sz w:val="15"/>
              </w:rPr>
              <w:t>Run pauses safely</w:t>
            </w:r>
          </w:p>
        </w:tc>
      </w:tr>
      <w:tr>
        <w:tc>
          <w:tcPr>
            <w:tcW w:type="dxa" w:w="1944"/>
            <w:vAlign w:val="top"/>
          </w:tcPr>
          <w:p>
            <w:pPr>
              <w:spacing w:after="20"/>
            </w:pPr>
            <w:r>
              <w:rPr>
                <w:rFonts w:ascii="Arial" w:hAnsi="Arial"/>
                <w:color w:val="172019"/>
                <w:sz w:val="15"/>
              </w:rPr>
              <w:t>Tool failed / error</w:t>
            </w:r>
          </w:p>
        </w:tc>
        <w:tc>
          <w:tcPr>
            <w:tcW w:type="dxa" w:w="3816"/>
            <w:vAlign w:val="top"/>
          </w:tcPr>
          <w:p>
            <w:pPr>
              <w:spacing w:after="20"/>
            </w:pPr>
            <w:r>
              <w:rPr>
                <w:rFonts w:ascii="Arial" w:hAnsi="Arial"/>
                <w:color w:val="172019"/>
                <w:sz w:val="15"/>
              </w:rPr>
              <w:t>Clear failure and recovery path</w:t>
            </w:r>
          </w:p>
        </w:tc>
        <w:tc>
          <w:tcPr>
            <w:tcW w:type="dxa" w:w="3888"/>
            <w:vAlign w:val="top"/>
          </w:tcPr>
          <w:p>
            <w:pPr>
              <w:spacing w:after="20"/>
            </w:pPr>
            <w:r>
              <w:rPr>
                <w:rFonts w:ascii="Arial" w:hAnsi="Arial"/>
                <w:color w:val="172019"/>
                <w:sz w:val="15"/>
              </w:rPr>
              <w:t>Retry, replan, partial, or stop</w:t>
            </w:r>
          </w:p>
        </w:tc>
      </w:tr>
      <w:tr>
        <w:tc>
          <w:tcPr>
            <w:tcW w:type="dxa" w:w="1944"/>
            <w:shd w:fill="F6F7F5"/>
            <w:vAlign w:val="top"/>
          </w:tcPr>
          <w:p>
            <w:pPr>
              <w:spacing w:after="20"/>
            </w:pPr>
            <w:r>
              <w:rPr>
                <w:rFonts w:ascii="Arial" w:hAnsi="Arial"/>
                <w:color w:val="172019"/>
                <w:sz w:val="15"/>
              </w:rPr>
              <w:t>Denied</w:t>
            </w:r>
          </w:p>
        </w:tc>
        <w:tc>
          <w:tcPr>
            <w:tcW w:type="dxa" w:w="3816"/>
            <w:shd w:fill="F6F7F5"/>
            <w:vAlign w:val="top"/>
          </w:tcPr>
          <w:p>
            <w:pPr>
              <w:spacing w:after="20"/>
            </w:pPr>
            <w:r>
              <w:rPr>
                <w:rFonts w:ascii="Arial" w:hAnsi="Arial"/>
                <w:color w:val="172019"/>
                <w:sz w:val="15"/>
              </w:rPr>
              <w:t>Plain-language boundary response</w:t>
            </w:r>
          </w:p>
        </w:tc>
        <w:tc>
          <w:tcPr>
            <w:tcW w:type="dxa" w:w="3888"/>
            <w:shd w:fill="F6F7F5"/>
            <w:vAlign w:val="top"/>
          </w:tcPr>
          <w:p>
            <w:pPr>
              <w:spacing w:after="20"/>
            </w:pPr>
            <w:r>
              <w:rPr>
                <w:rFonts w:ascii="Arial" w:hAnsi="Arial"/>
                <w:color w:val="172019"/>
                <w:sz w:val="15"/>
              </w:rPr>
              <w:t>No unauthorized tool/action</w:t>
            </w:r>
          </w:p>
        </w:tc>
      </w:tr>
    </w:tbl>
    <w:p>
      <w:pPr>
        <w:spacing w:after="0"/>
      </w:pPr>
    </w:p>
    <w:p>
      <w:r>
        <w:br w:type="page"/>
      </w:r>
    </w:p>
    <w:p>
      <w:pPr>
        <w:pStyle w:val="BlueprintKicker"/>
        <w:keepNext/>
      </w:pPr>
      <w:r>
        <w:rPr>
          <w:rFonts w:ascii="Arial" w:hAnsi="Arial"/>
          <w:b w:val="0"/>
        </w:rPr>
        <w:t>07 / STATE IS THE HARD PART</w:t>
      </w:r>
    </w:p>
    <w:p>
      <w:pPr>
        <w:pStyle w:val="Heading1"/>
        <w:keepNext/>
      </w:pPr>
      <w:r>
        <w:t>State, memory, and versioning</w:t>
      </w:r>
    </w:p>
    <w:p>
      <w:pPr>
        <w:jc w:val="center"/>
      </w:pPr>
      <w:r>
        <w:drawing>
          <wp:inline xmlns:a="http://schemas.openxmlformats.org/drawingml/2006/main" xmlns:pic="http://schemas.openxmlformats.org/drawingml/2006/picture">
            <wp:extent cx="6355080" cy="3177540"/>
            <wp:docPr id="6" name="Picture 6"/>
            <wp:cNvGraphicFramePr>
              <a:graphicFrameLocks noChangeAspect="1"/>
            </wp:cNvGraphicFramePr>
            <a:graphic>
              <a:graphicData uri="http://schemas.openxmlformats.org/drawingml/2006/picture">
                <pic:pic>
                  <pic:nvPicPr>
                    <pic:cNvPr id="0" name="06_memory_state.png"/>
                    <pic:cNvPicPr/>
                  </pic:nvPicPr>
                  <pic:blipFill>
                    <a:blip r:embed="rId16"/>
                    <a:stretch>
                      <a:fillRect/>
                    </a:stretch>
                  </pic:blipFill>
                  <pic:spPr>
                    <a:xfrm>
                      <a:off x="0" y="0"/>
                      <a:ext cx="6355080" cy="3177540"/>
                    </a:xfrm>
                    <a:prstGeom prst="rect"/>
                  </pic:spPr>
                </pic:pic>
              </a:graphicData>
            </a:graphic>
          </wp:inline>
        </w:drawing>
      </w:r>
    </w:p>
    <w:p>
      <w:pPr>
        <w:pStyle w:val="BlueprintCaption"/>
        <w:jc w:val="center"/>
        <w:keepLines/>
      </w:pPr>
      <w:r>
        <w:rPr>
          <w:rFonts w:ascii="Arial" w:hAnsi="Arial"/>
          <w:b w:val="0"/>
        </w:rPr>
        <w:t>Figure 6. Supabase is canonical; session, Pinecone, Mem0, and version history are bounded projections.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173C2A"/>
            <w:vAlign w:val="center"/>
          </w:tcPr>
          <w:p>
            <w:pPr>
              <w:spacing w:after="0"/>
            </w:pPr>
            <w:r>
              <w:rPr>
                <w:rFonts w:ascii="Arial" w:hAnsi="Arial"/>
                <w:b/>
                <w:color w:val="FFFFFF"/>
                <w:sz w:val="15"/>
              </w:rPr>
              <w:t>Memory type</w:t>
            </w:r>
          </w:p>
        </w:tc>
        <w:tc>
          <w:tcPr>
            <w:tcW w:type="dxa" w:w="2664"/>
            <w:shd w:fill="173C2A"/>
            <w:vAlign w:val="center"/>
          </w:tcPr>
          <w:p>
            <w:pPr>
              <w:spacing w:after="0"/>
            </w:pPr>
            <w:r>
              <w:rPr>
                <w:rFonts w:ascii="Arial" w:hAnsi="Arial"/>
                <w:b/>
                <w:color w:val="FFFFFF"/>
                <w:sz w:val="15"/>
              </w:rPr>
              <w:t>What it remembers</w:t>
            </w:r>
          </w:p>
        </w:tc>
        <w:tc>
          <w:tcPr>
            <w:tcW w:type="dxa" w:w="2232"/>
            <w:shd w:fill="173C2A"/>
            <w:vAlign w:val="center"/>
          </w:tcPr>
          <w:p>
            <w:pPr>
              <w:spacing w:after="0"/>
            </w:pPr>
            <w:r>
              <w:rPr>
                <w:rFonts w:ascii="Arial" w:hAnsi="Arial"/>
                <w:b/>
                <w:color w:val="FFFFFF"/>
                <w:sz w:val="15"/>
              </w:rPr>
              <w:t>Lifetime / store</w:t>
            </w:r>
          </w:p>
        </w:tc>
        <w:tc>
          <w:tcPr>
            <w:tcW w:type="dxa" w:w="3096"/>
            <w:shd w:fill="173C2A"/>
            <w:vAlign w:val="center"/>
          </w:tcPr>
          <w:p>
            <w:pPr>
              <w:spacing w:after="0"/>
            </w:pPr>
            <w:r>
              <w:rPr>
                <w:rFonts w:ascii="Arial" w:hAnsi="Arial"/>
                <w:b/>
                <w:color w:val="FFFFFF"/>
                <w:sz w:val="15"/>
              </w:rPr>
              <w:t>Boundary</w:t>
            </w:r>
          </w:p>
        </w:tc>
      </w:tr>
      <w:tr>
        <w:tc>
          <w:tcPr>
            <w:tcW w:type="dxa" w:w="1656"/>
            <w:vAlign w:val="top"/>
          </w:tcPr>
          <w:p>
            <w:pPr>
              <w:spacing w:after="20"/>
            </w:pPr>
            <w:r>
              <w:rPr>
                <w:rFonts w:ascii="Arial" w:hAnsi="Arial"/>
                <w:color w:val="172019"/>
                <w:sz w:val="15"/>
              </w:rPr>
              <w:t>Session / short-term</w:t>
            </w:r>
          </w:p>
        </w:tc>
        <w:tc>
          <w:tcPr>
            <w:tcW w:type="dxa" w:w="2664"/>
            <w:vAlign w:val="top"/>
          </w:tcPr>
          <w:p>
            <w:pPr>
              <w:spacing w:after="20"/>
            </w:pPr>
            <w:r>
              <w:rPr>
                <w:rFonts w:ascii="Arial" w:hAnsi="Arial"/>
                <w:color w:val="172019"/>
                <w:sz w:val="15"/>
              </w:rPr>
              <w:t>Current page, selected section, temporary dialog state</w:t>
            </w:r>
          </w:p>
        </w:tc>
        <w:tc>
          <w:tcPr>
            <w:tcW w:type="dxa" w:w="2232"/>
            <w:vAlign w:val="top"/>
          </w:tcPr>
          <w:p>
            <w:pPr>
              <w:spacing w:after="20"/>
            </w:pPr>
            <w:r>
              <w:rPr>
                <w:rFonts w:ascii="Arial" w:hAnsi="Arial"/>
                <w:color w:val="172019"/>
                <w:sz w:val="15"/>
              </w:rPr>
              <w:t>Browser session / Streamlit</w:t>
            </w:r>
          </w:p>
        </w:tc>
        <w:tc>
          <w:tcPr>
            <w:tcW w:type="dxa" w:w="3096"/>
            <w:vAlign w:val="top"/>
          </w:tcPr>
          <w:p>
            <w:pPr>
              <w:spacing w:after="20"/>
            </w:pPr>
            <w:r>
              <w:rPr>
                <w:rFonts w:ascii="Arial" w:hAnsi="Arial"/>
                <w:color w:val="172019"/>
                <w:sz w:val="15"/>
              </w:rPr>
              <w:t>Never treated as canonical</w:t>
            </w:r>
          </w:p>
        </w:tc>
      </w:tr>
      <w:tr>
        <w:tc>
          <w:tcPr>
            <w:tcW w:type="dxa" w:w="1656"/>
            <w:shd w:fill="F6F7F5"/>
            <w:vAlign w:val="top"/>
          </w:tcPr>
          <w:p>
            <w:pPr>
              <w:spacing w:after="20"/>
            </w:pPr>
            <w:r>
              <w:rPr>
                <w:rFonts w:ascii="Arial" w:hAnsi="Arial"/>
                <w:color w:val="172019"/>
                <w:sz w:val="15"/>
              </w:rPr>
              <w:t>Conversation history</w:t>
            </w:r>
          </w:p>
        </w:tc>
        <w:tc>
          <w:tcPr>
            <w:tcW w:type="dxa" w:w="2664"/>
            <w:shd w:fill="F6F7F5"/>
            <w:vAlign w:val="top"/>
          </w:tcPr>
          <w:p>
            <w:pPr>
              <w:spacing w:after="20"/>
            </w:pPr>
            <w:r>
              <w:rPr>
                <w:rFonts w:ascii="Arial" w:hAnsi="Arial"/>
                <w:color w:val="172019"/>
                <w:sz w:val="15"/>
              </w:rPr>
              <w:t>Questions and grounded answers per Blueprint section</w:t>
            </w:r>
          </w:p>
        </w:tc>
        <w:tc>
          <w:tcPr>
            <w:tcW w:type="dxa" w:w="2232"/>
            <w:shd w:fill="F6F7F5"/>
            <w:vAlign w:val="top"/>
          </w:tcPr>
          <w:p>
            <w:pPr>
              <w:spacing w:after="20"/>
            </w:pPr>
            <w:r>
              <w:rPr>
                <w:rFonts w:ascii="Arial" w:hAnsi="Arial"/>
                <w:color w:val="172019"/>
                <w:sz w:val="15"/>
              </w:rPr>
              <w:t>Supabase chat records</w:t>
            </w:r>
          </w:p>
        </w:tc>
        <w:tc>
          <w:tcPr>
            <w:tcW w:type="dxa" w:w="3096"/>
            <w:shd w:fill="F6F7F5"/>
            <w:vAlign w:val="top"/>
          </w:tcPr>
          <w:p>
            <w:pPr>
              <w:spacing w:after="20"/>
            </w:pPr>
            <w:r>
              <w:rPr>
                <w:rFonts w:ascii="Arial" w:hAnsi="Arial"/>
                <w:color w:val="172019"/>
                <w:sz w:val="15"/>
              </w:rPr>
              <w:t>Owner/project/section scoped</w:t>
            </w:r>
          </w:p>
        </w:tc>
      </w:tr>
      <w:tr>
        <w:tc>
          <w:tcPr>
            <w:tcW w:type="dxa" w:w="1656"/>
            <w:vAlign w:val="top"/>
          </w:tcPr>
          <w:p>
            <w:pPr>
              <w:spacing w:after="20"/>
            </w:pPr>
            <w:r>
              <w:rPr>
                <w:rFonts w:ascii="Arial" w:hAnsi="Arial"/>
                <w:color w:val="172019"/>
                <w:sz w:val="15"/>
              </w:rPr>
              <w:t>Episodic</w:t>
            </w:r>
          </w:p>
        </w:tc>
        <w:tc>
          <w:tcPr>
            <w:tcW w:type="dxa" w:w="2664"/>
            <w:vAlign w:val="top"/>
          </w:tcPr>
          <w:p>
            <w:pPr>
              <w:spacing w:after="20"/>
            </w:pPr>
            <w:r>
              <w:rPr>
                <w:rFonts w:ascii="Arial" w:hAnsi="Arial"/>
                <w:color w:val="172019"/>
                <w:sz w:val="15"/>
              </w:rPr>
              <w:t>Run events, failures, checkpoints, decisions, version changes</w:t>
            </w:r>
          </w:p>
        </w:tc>
        <w:tc>
          <w:tcPr>
            <w:tcW w:type="dxa" w:w="2232"/>
            <w:vAlign w:val="top"/>
          </w:tcPr>
          <w:p>
            <w:pPr>
              <w:spacing w:after="20"/>
            </w:pPr>
            <w:r>
              <w:rPr>
                <w:rFonts w:ascii="Arial" w:hAnsi="Arial"/>
                <w:color w:val="172019"/>
                <w:sz w:val="15"/>
              </w:rPr>
              <w:t>Supabase persistent tables</w:t>
            </w:r>
          </w:p>
        </w:tc>
        <w:tc>
          <w:tcPr>
            <w:tcW w:type="dxa" w:w="3096"/>
            <w:vAlign w:val="top"/>
          </w:tcPr>
          <w:p>
            <w:pPr>
              <w:spacing w:after="20"/>
            </w:pPr>
            <w:r>
              <w:rPr>
                <w:rFonts w:ascii="Arial" w:hAnsi="Arial"/>
                <w:color w:val="172019"/>
                <w:sz w:val="15"/>
              </w:rPr>
              <w:t>No raw chain-of-thought</w:t>
            </w:r>
          </w:p>
        </w:tc>
      </w:tr>
      <w:tr>
        <w:tc>
          <w:tcPr>
            <w:tcW w:type="dxa" w:w="1656"/>
            <w:shd w:fill="F6F7F5"/>
            <w:vAlign w:val="top"/>
          </w:tcPr>
          <w:p>
            <w:pPr>
              <w:spacing w:after="20"/>
            </w:pPr>
            <w:r>
              <w:rPr>
                <w:rFonts w:ascii="Arial" w:hAnsi="Arial"/>
                <w:color w:val="172019"/>
                <w:sz w:val="15"/>
              </w:rPr>
              <w:t>Semantic evidence</w:t>
            </w:r>
          </w:p>
        </w:tc>
        <w:tc>
          <w:tcPr>
            <w:tcW w:type="dxa" w:w="2664"/>
            <w:shd w:fill="F6F7F5"/>
            <w:vAlign w:val="top"/>
          </w:tcPr>
          <w:p>
            <w:pPr>
              <w:spacing w:after="20"/>
            </w:pPr>
            <w:r>
              <w:rPr>
                <w:rFonts w:ascii="Arial" w:hAnsi="Arial"/>
                <w:color w:val="172019"/>
                <w:sz w:val="15"/>
              </w:rPr>
              <w:t>Auditor-accepted public evidence</w:t>
            </w:r>
          </w:p>
        </w:tc>
        <w:tc>
          <w:tcPr>
            <w:tcW w:type="dxa" w:w="2232"/>
            <w:shd w:fill="F6F7F5"/>
            <w:vAlign w:val="top"/>
          </w:tcPr>
          <w:p>
            <w:pPr>
              <w:spacing w:after="20"/>
            </w:pPr>
            <w:r>
              <w:rPr>
                <w:rFonts w:ascii="Arial" w:hAnsi="Arial"/>
                <w:color w:val="172019"/>
                <w:sz w:val="15"/>
              </w:rPr>
              <w:t>Pinecone projection; Supabase metadata</w:t>
            </w:r>
          </w:p>
        </w:tc>
        <w:tc>
          <w:tcPr>
            <w:tcW w:type="dxa" w:w="3096"/>
            <w:shd w:fill="F6F7F5"/>
            <w:vAlign w:val="top"/>
          </w:tcPr>
          <w:p>
            <w:pPr>
              <w:spacing w:after="20"/>
            </w:pPr>
            <w:r>
              <w:rPr>
                <w:rFonts w:ascii="Arial" w:hAnsi="Arial"/>
                <w:color w:val="172019"/>
                <w:sz w:val="15"/>
              </w:rPr>
              <w:t>Rejected evidence excluded; canonical revalidation</w:t>
            </w:r>
          </w:p>
        </w:tc>
      </w:tr>
      <w:tr>
        <w:tc>
          <w:tcPr>
            <w:tcW w:type="dxa" w:w="1656"/>
            <w:vAlign w:val="top"/>
          </w:tcPr>
          <w:p>
            <w:pPr>
              <w:spacing w:after="20"/>
            </w:pPr>
            <w:r>
              <w:rPr>
                <w:rFonts w:ascii="Arial" w:hAnsi="Arial"/>
                <w:color w:val="172019"/>
                <w:sz w:val="15"/>
              </w:rPr>
              <w:t>Founder journey</w:t>
            </w:r>
          </w:p>
        </w:tc>
        <w:tc>
          <w:tcPr>
            <w:tcW w:type="dxa" w:w="2664"/>
            <w:vAlign w:val="top"/>
          </w:tcPr>
          <w:p>
            <w:pPr>
              <w:spacing w:after="20"/>
            </w:pPr>
            <w:r>
              <w:rPr>
                <w:rFonts w:ascii="Arial" w:hAnsi="Arial"/>
                <w:color w:val="172019"/>
                <w:sz w:val="15"/>
              </w:rPr>
              <w:t>Confirmed goals, constraints, preferences, corrections, lessons</w:t>
            </w:r>
          </w:p>
        </w:tc>
        <w:tc>
          <w:tcPr>
            <w:tcW w:type="dxa" w:w="2232"/>
            <w:vAlign w:val="top"/>
          </w:tcPr>
          <w:p>
            <w:pPr>
              <w:spacing w:after="20"/>
            </w:pPr>
            <w:r>
              <w:rPr>
                <w:rFonts w:ascii="Arial" w:hAnsi="Arial"/>
                <w:color w:val="172019"/>
                <w:sz w:val="15"/>
              </w:rPr>
              <w:t>Mem0 projection; Supabase canonical</w:t>
            </w:r>
          </w:p>
        </w:tc>
        <w:tc>
          <w:tcPr>
            <w:tcW w:type="dxa" w:w="3096"/>
            <w:vAlign w:val="top"/>
          </w:tcPr>
          <w:p>
            <w:pPr>
              <w:spacing w:after="20"/>
            </w:pPr>
            <w:r>
              <w:rPr>
                <w:rFonts w:ascii="Arial" w:hAnsi="Arial"/>
                <w:color w:val="172019"/>
                <w:sz w:val="15"/>
              </w:rPr>
              <w:t>No unconfirmed guesses or secrets</w:t>
            </w:r>
          </w:p>
        </w:tc>
      </w:tr>
      <w:tr>
        <w:tc>
          <w:tcPr>
            <w:tcW w:type="dxa" w:w="1656"/>
            <w:shd w:fill="F6F7F5"/>
            <w:vAlign w:val="top"/>
          </w:tcPr>
          <w:p>
            <w:pPr>
              <w:spacing w:after="20"/>
            </w:pPr>
            <w:r>
              <w:rPr>
                <w:rFonts w:ascii="Arial" w:hAnsi="Arial"/>
                <w:color w:val="172019"/>
                <w:sz w:val="15"/>
              </w:rPr>
              <w:t>Blueprint versions</w:t>
            </w:r>
          </w:p>
        </w:tc>
        <w:tc>
          <w:tcPr>
            <w:tcW w:type="dxa" w:w="2664"/>
            <w:shd w:fill="F6F7F5"/>
            <w:vAlign w:val="top"/>
          </w:tcPr>
          <w:p>
            <w:pPr>
              <w:spacing w:after="20"/>
            </w:pPr>
            <w:r>
              <w:rPr>
                <w:rFonts w:ascii="Arial" w:hAnsi="Arial"/>
                <w:color w:val="172019"/>
                <w:sz w:val="15"/>
              </w:rPr>
              <w:t>Original and updated plan plus impact-aware reruns</w:t>
            </w:r>
          </w:p>
        </w:tc>
        <w:tc>
          <w:tcPr>
            <w:tcW w:type="dxa" w:w="2232"/>
            <w:shd w:fill="F6F7F5"/>
            <w:vAlign w:val="top"/>
          </w:tcPr>
          <w:p>
            <w:pPr>
              <w:spacing w:after="20"/>
            </w:pPr>
            <w:r>
              <w:rPr>
                <w:rFonts w:ascii="Arial" w:hAnsi="Arial"/>
                <w:color w:val="172019"/>
                <w:sz w:val="15"/>
              </w:rPr>
              <w:t>Supabase immutable versions</w:t>
            </w:r>
          </w:p>
        </w:tc>
        <w:tc>
          <w:tcPr>
            <w:tcW w:type="dxa" w:w="3096"/>
            <w:shd w:fill="F6F7F5"/>
            <w:vAlign w:val="top"/>
          </w:tcPr>
          <w:p>
            <w:pPr>
              <w:spacing w:after="20"/>
            </w:pPr>
            <w:r>
              <w:rPr>
                <w:rFonts w:ascii="Arial" w:hAnsi="Arial"/>
                <w:color w:val="172019"/>
                <w:sz w:val="15"/>
              </w:rPr>
              <w:t>Never overwrite history silently</w:t>
            </w:r>
          </w:p>
        </w:tc>
      </w:tr>
    </w:tbl>
    <w:p>
      <w:pPr>
        <w:spacing w:after="0"/>
      </w:pPr>
    </w:p>
    <w:p>
      <w:pPr>
        <w:pStyle w:val="Heading2"/>
        <w:keepNext/>
      </w:pPr>
      <w:r>
        <w:t>Why three stores instead of one</w:t>
      </w:r>
    </w:p>
    <w:p>
      <w:r>
        <w:rPr>
          <w:rFonts w:ascii="Arial" w:hAnsi="Arial"/>
          <w:b w:val="0"/>
        </w:rPr>
        <w:t>Each store has a different contract. Supabase guarantees ownership, consistency, and auditability. Pinecone optimizes semantic retrieval across accepted evidence. Mem0 optimizes retrieval of confirmed founder preferences and lessons across sessions. Consolidating everything into one store would either weaken semantic retrieval or turn a projection into an unsafe source of truth.</w:t>
      </w:r>
    </w:p>
    <w:p>
      <w:pPr>
        <w:pStyle w:val="Heading2"/>
        <w:keepNext/>
      </w:pPr>
      <w:r>
        <w:t>Profile corrections and reruns</w:t>
      </w:r>
    </w:p>
    <w:p>
      <w:r>
        <w:rPr>
          <w:rFonts w:ascii="Arial" w:hAnsi="Arial"/>
          <w:b w:val="0"/>
        </w:rPr>
        <w:t>A founder edit creates an immutable profile version. The system calculates dependency impact before execution, shows whether the rerun is targeted or full, requires confirmation, rejects stale previews, and produces a new Blueprint version. The original remains available for comparison.</w:t>
      </w:r>
    </w:p>
    <w:p>
      <w:r>
        <w:br w:type="page"/>
      </w:r>
    </w:p>
    <w:p>
      <w:pPr>
        <w:pStyle w:val="BlueprintKicker"/>
        <w:keepNext/>
      </w:pPr>
      <w:r>
        <w:rPr>
          <w:rFonts w:ascii="Arial" w:hAnsi="Arial"/>
          <w:b w:val="0"/>
        </w:rPr>
        <w:t>08 / EVIDENCE</w:t>
      </w:r>
    </w:p>
    <w:p>
      <w:pPr>
        <w:pStyle w:val="Heading1"/>
        <w:keepNext/>
      </w:pPr>
      <w:r>
        <w:t>Research, grounding, and financial integrity</w:t>
      </w:r>
    </w:p>
    <w:p>
      <w:pPr>
        <w:jc w:val="center"/>
      </w:pPr>
      <w:r>
        <w:drawing>
          <wp:inline xmlns:a="http://schemas.openxmlformats.org/drawingml/2006/main" xmlns:pic="http://schemas.openxmlformats.org/drawingml/2006/picture">
            <wp:extent cx="6355080" cy="2859786"/>
            <wp:docPr id="7" name="Picture 7"/>
            <wp:cNvGraphicFramePr>
              <a:graphicFrameLocks noChangeAspect="1"/>
            </wp:cNvGraphicFramePr>
            <a:graphic>
              <a:graphicData uri="http://schemas.openxmlformats.org/drawingml/2006/picture">
                <pic:pic>
                  <pic:nvPicPr>
                    <pic:cNvPr id="0" name="07_evidence_pipeline.png"/>
                    <pic:cNvPicPr/>
                  </pic:nvPicPr>
                  <pic:blipFill>
                    <a:blip r:embed="rId17"/>
                    <a:stretch>
                      <a:fillRect/>
                    </a:stretch>
                  </pic:blipFill>
                  <pic:spPr>
                    <a:xfrm>
                      <a:off x="0" y="0"/>
                      <a:ext cx="6355080" cy="2859786"/>
                    </a:xfrm>
                    <a:prstGeom prst="rect"/>
                  </pic:spPr>
                </pic:pic>
              </a:graphicData>
            </a:graphic>
          </wp:inline>
        </w:drawing>
      </w:r>
    </w:p>
    <w:p>
      <w:pPr>
        <w:pStyle w:val="BlueprintCaption"/>
        <w:jc w:val="center"/>
        <w:keepLines/>
      </w:pPr>
      <w:r>
        <w:rPr>
          <w:rFonts w:ascii="Arial" w:hAnsi="Arial"/>
          <w:b w:val="0"/>
        </w:rPr>
        <w:t>Figure 7. Evidence must survive normalization and independent audit before it can influence a verdict.</w:t>
      </w:r>
    </w:p>
    <w:p>
      <w:pPr>
        <w:pStyle w:val="Heading2"/>
        <w:keepNext/>
      </w:pPr>
      <w:r>
        <w:t>Research coverage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73C2A"/>
            <w:vAlign w:val="center"/>
          </w:tcPr>
          <w:p>
            <w:pPr>
              <w:spacing w:after="0"/>
            </w:pPr>
            <w:r>
              <w:rPr>
                <w:rFonts w:ascii="Arial" w:hAnsi="Arial"/>
                <w:b/>
                <w:color w:val="FFFFFF"/>
                <w:sz w:val="15"/>
              </w:rPr>
              <w:t>Research lane</w:t>
            </w:r>
          </w:p>
        </w:tc>
        <w:tc>
          <w:tcPr>
            <w:tcW w:type="dxa" w:w="4032"/>
            <w:shd w:fill="173C2A"/>
            <w:vAlign w:val="center"/>
          </w:tcPr>
          <w:p>
            <w:pPr>
              <w:spacing w:after="0"/>
            </w:pPr>
            <w:r>
              <w:rPr>
                <w:rFonts w:ascii="Arial" w:hAnsi="Arial"/>
                <w:b/>
                <w:color w:val="FFFFFF"/>
                <w:sz w:val="15"/>
              </w:rPr>
              <w:t>Questions answered</w:t>
            </w:r>
          </w:p>
        </w:tc>
        <w:tc>
          <w:tcPr>
            <w:tcW w:type="dxa" w:w="3960"/>
            <w:shd w:fill="173C2A"/>
            <w:vAlign w:val="center"/>
          </w:tcPr>
          <w:p>
            <w:pPr>
              <w:spacing w:after="0"/>
            </w:pPr>
            <w:r>
              <w:rPr>
                <w:rFonts w:ascii="Arial" w:hAnsi="Arial"/>
                <w:b/>
                <w:color w:val="FFFFFF"/>
                <w:sz w:val="15"/>
              </w:rPr>
              <w:t>Preferred evidence</w:t>
            </w:r>
          </w:p>
        </w:tc>
      </w:tr>
      <w:tr>
        <w:tc>
          <w:tcPr>
            <w:tcW w:type="dxa" w:w="1656"/>
            <w:vAlign w:val="top"/>
          </w:tcPr>
          <w:p>
            <w:pPr>
              <w:spacing w:after="20"/>
            </w:pPr>
            <w:r>
              <w:rPr>
                <w:rFonts w:ascii="Arial" w:hAnsi="Arial"/>
                <w:color w:val="172019"/>
                <w:sz w:val="15"/>
              </w:rPr>
              <w:t>Customer</w:t>
            </w:r>
          </w:p>
        </w:tc>
        <w:tc>
          <w:tcPr>
            <w:tcW w:type="dxa" w:w="4032"/>
            <w:vAlign w:val="top"/>
          </w:tcPr>
          <w:p>
            <w:pPr>
              <w:spacing w:after="20"/>
            </w:pPr>
            <w:r>
              <w:rPr>
                <w:rFonts w:ascii="Arial" w:hAnsi="Arial"/>
                <w:color w:val="172019"/>
                <w:sz w:val="15"/>
              </w:rPr>
              <w:t>Who feels the pain? What do they do today? What would count as commitment?</w:t>
            </w:r>
          </w:p>
        </w:tc>
        <w:tc>
          <w:tcPr>
            <w:tcW w:type="dxa" w:w="3960"/>
            <w:vAlign w:val="top"/>
          </w:tcPr>
          <w:p>
            <w:pPr>
              <w:spacing w:after="20"/>
            </w:pPr>
            <w:r>
              <w:rPr>
                <w:rFonts w:ascii="Arial" w:hAnsi="Arial"/>
                <w:color w:val="172019"/>
                <w:sz w:val="15"/>
              </w:rPr>
              <w:t>Communities, review complaints, workflows, behavior, pricing/commitment signals</w:t>
            </w:r>
          </w:p>
        </w:tc>
      </w:tr>
      <w:tr>
        <w:tc>
          <w:tcPr>
            <w:tcW w:type="dxa" w:w="1656"/>
            <w:shd w:fill="F6F7F5"/>
            <w:vAlign w:val="top"/>
          </w:tcPr>
          <w:p>
            <w:pPr>
              <w:spacing w:after="20"/>
            </w:pPr>
            <w:r>
              <w:rPr>
                <w:rFonts w:ascii="Arial" w:hAnsi="Arial"/>
                <w:color w:val="172019"/>
                <w:sz w:val="15"/>
              </w:rPr>
              <w:t>Competitor</w:t>
            </w:r>
          </w:p>
        </w:tc>
        <w:tc>
          <w:tcPr>
            <w:tcW w:type="dxa" w:w="4032"/>
            <w:shd w:fill="F6F7F5"/>
            <w:vAlign w:val="top"/>
          </w:tcPr>
          <w:p>
            <w:pPr>
              <w:spacing w:after="20"/>
            </w:pPr>
            <w:r>
              <w:rPr>
                <w:rFonts w:ascii="Arial" w:hAnsi="Arial"/>
                <w:color w:val="172019"/>
                <w:sz w:val="15"/>
              </w:rPr>
              <w:t>Who are the direct and indirect alternatives? What do they do well or poorly?</w:t>
            </w:r>
          </w:p>
        </w:tc>
        <w:tc>
          <w:tcPr>
            <w:tcW w:type="dxa" w:w="3960"/>
            <w:shd w:fill="F6F7F5"/>
            <w:vAlign w:val="top"/>
          </w:tcPr>
          <w:p>
            <w:pPr>
              <w:spacing w:after="20"/>
            </w:pPr>
            <w:r>
              <w:rPr>
                <w:rFonts w:ascii="Arial" w:hAnsi="Arial"/>
                <w:color w:val="172019"/>
                <w:sz w:val="15"/>
              </w:rPr>
              <w:t>Official sites, pricing pages, feature pages, review platforms, directories</w:t>
            </w:r>
          </w:p>
        </w:tc>
      </w:tr>
      <w:tr>
        <w:tc>
          <w:tcPr>
            <w:tcW w:type="dxa" w:w="1656"/>
            <w:vAlign w:val="top"/>
          </w:tcPr>
          <w:p>
            <w:pPr>
              <w:spacing w:after="20"/>
            </w:pPr>
            <w:r>
              <w:rPr>
                <w:rFonts w:ascii="Arial" w:hAnsi="Arial"/>
                <w:color w:val="172019"/>
                <w:sz w:val="15"/>
              </w:rPr>
              <w:t>Market</w:t>
            </w:r>
          </w:p>
        </w:tc>
        <w:tc>
          <w:tcPr>
            <w:tcW w:type="dxa" w:w="4032"/>
            <w:vAlign w:val="top"/>
          </w:tcPr>
          <w:p>
            <w:pPr>
              <w:spacing w:after="20"/>
            </w:pPr>
            <w:r>
              <w:rPr>
                <w:rFonts w:ascii="Arial" w:hAnsi="Arial"/>
                <w:color w:val="172019"/>
                <w:sz w:val="15"/>
              </w:rPr>
              <w:t>Which segment is reachable? What dynamics or constraints matter?</w:t>
            </w:r>
          </w:p>
        </w:tc>
        <w:tc>
          <w:tcPr>
            <w:tcW w:type="dxa" w:w="3960"/>
            <w:vAlign w:val="top"/>
          </w:tcPr>
          <w:p>
            <w:pPr>
              <w:spacing w:after="20"/>
            </w:pPr>
            <w:r>
              <w:rPr>
                <w:rFonts w:ascii="Arial" w:hAnsi="Arial"/>
                <w:color w:val="172019"/>
                <w:sz w:val="15"/>
              </w:rPr>
              <w:t>Industry reports, public datasets, credible publications, platform/channel evidence</w:t>
            </w:r>
          </w:p>
        </w:tc>
      </w:tr>
      <w:tr>
        <w:tc>
          <w:tcPr>
            <w:tcW w:type="dxa" w:w="1656"/>
            <w:shd w:fill="F6F7F5"/>
            <w:vAlign w:val="top"/>
          </w:tcPr>
          <w:p>
            <w:pPr>
              <w:spacing w:after="20"/>
            </w:pPr>
            <w:r>
              <w:rPr>
                <w:rFonts w:ascii="Arial" w:hAnsi="Arial"/>
                <w:color w:val="172019"/>
                <w:sz w:val="15"/>
              </w:rPr>
              <w:t>Financial</w:t>
            </w:r>
          </w:p>
        </w:tc>
        <w:tc>
          <w:tcPr>
            <w:tcW w:type="dxa" w:w="4032"/>
            <w:shd w:fill="F6F7F5"/>
            <w:vAlign w:val="top"/>
          </w:tcPr>
          <w:p>
            <w:pPr>
              <w:spacing w:after="20"/>
            </w:pPr>
            <w:r>
              <w:rPr>
                <w:rFonts w:ascii="Arial" w:hAnsi="Arial"/>
                <w:color w:val="172019"/>
                <w:sz w:val="15"/>
              </w:rPr>
              <w:t>What can the founder afford? Which assumptions control runway and unit economics?</w:t>
            </w:r>
          </w:p>
        </w:tc>
        <w:tc>
          <w:tcPr>
            <w:tcW w:type="dxa" w:w="3960"/>
            <w:shd w:fill="F6F7F5"/>
            <w:vAlign w:val="top"/>
          </w:tcPr>
          <w:p>
            <w:pPr>
              <w:spacing w:after="20"/>
            </w:pPr>
            <w:r>
              <w:rPr>
                <w:rFonts w:ascii="Arial" w:hAnsi="Arial"/>
                <w:color w:val="172019"/>
                <w:sz w:val="15"/>
              </w:rPr>
              <w:t>Founder inputs plus deterministic arithmetic; never invented revenue or conversion</w:t>
            </w:r>
          </w:p>
        </w:tc>
      </w:tr>
    </w:tbl>
    <w:p>
      <w:pPr>
        <w:spacing w:after="0"/>
      </w:pPr>
    </w:p>
    <w:p>
      <w:pPr>
        <w:pStyle w:val="Heading2"/>
        <w:keepNext/>
      </w:pPr>
      <w:r>
        <w:t>Citation and claim policy</w:t>
      </w:r>
    </w:p>
    <w:p>
      <w:pPr>
        <w:pStyle w:val="ListBullet"/>
        <w:spacing w:after="60"/>
        <w:ind w:left="288" w:hanging="173"/>
      </w:pPr>
      <w:r>
        <w:rPr>
          <w:rFonts w:ascii="Arial" w:hAnsi="Arial"/>
          <w:sz w:val="18"/>
        </w:rPr>
        <w:t>Every evidence record carries URL, query, provider, timestamp, excerpt, limitations, and audit verdict.</w:t>
      </w:r>
    </w:p>
    <w:p>
      <w:pPr>
        <w:pStyle w:val="ListBullet"/>
        <w:spacing w:after="60"/>
        <w:ind w:left="288" w:hanging="173"/>
      </w:pPr>
      <w:r>
        <w:rPr>
          <w:rFonts w:ascii="Arial" w:hAnsi="Arial"/>
          <w:sz w:val="18"/>
        </w:rPr>
        <w:t>Search excerpts are directional; high-impact price, TAM, and willingness-to-pay claims require direct-source verification.</w:t>
      </w:r>
    </w:p>
    <w:p>
      <w:pPr>
        <w:pStyle w:val="ListBullet"/>
        <w:spacing w:after="60"/>
        <w:ind w:left="288" w:hanging="173"/>
      </w:pPr>
      <w:r>
        <w:rPr>
          <w:rFonts w:ascii="Arial" w:hAnsi="Arial"/>
          <w:sz w:val="18"/>
        </w:rPr>
        <w:t>Volatile or high-stakes facts never fall back to model memory.</w:t>
      </w:r>
    </w:p>
    <w:p>
      <w:pPr>
        <w:pStyle w:val="ListBullet"/>
        <w:spacing w:after="60"/>
        <w:ind w:left="288" w:hanging="173"/>
      </w:pPr>
      <w:r>
        <w:rPr>
          <w:rFonts w:ascii="Arial" w:hAnsi="Arial"/>
          <w:sz w:val="18"/>
        </w:rPr>
        <w:t>Facts, assumptions, unknowns, scenarios, and recommendations remain separately labeled in the output.</w:t>
      </w:r>
    </w:p>
    <w:p>
      <w:pPr>
        <w:pStyle w:val="ListBullet"/>
        <w:spacing w:after="60"/>
        <w:ind w:left="288" w:hanging="173"/>
      </w:pPr>
      <w:r>
        <w:rPr>
          <w:rFonts w:ascii="Arial" w:hAnsi="Arial"/>
          <w:sz w:val="18"/>
        </w:rPr>
        <w:t>Desk research alone cannot prove commercial demand; the deterministic verdict enforces that limitation.</w:t>
      </w:r>
    </w:p>
    <w:tbl>
      <w:tblPr>
        <w:tblW w:type="auto" w:w="0"/>
        <w:jc w:val="center"/>
        <w:tblLayout w:type="autofit"/>
        <w:tblLook w:firstColumn="1" w:firstRow="1" w:lastColumn="0" w:lastRow="0" w:noHBand="0" w:noVBand="1" w:val="04A0"/>
      </w:tblPr>
      <w:tblGrid>
        <w:gridCol w:w="10166"/>
      </w:tblGrid>
      <w:tr>
        <w:tc>
          <w:tcPr>
            <w:tcW w:type="dxa" w:w="10166"/>
            <w:shd w:fill="EAF3EC"/>
            <w:tcBorders>
              <w:left w:val="single" w:sz="22" w:color="2F7D4F"/>
            </w:tcBorders>
            <w:vAlign w:val="center"/>
          </w:tcPr>
          <w:p>
            <w:pPr>
              <w:spacing w:before="120" w:after="120"/>
            </w:pPr>
            <w:r>
              <w:rPr>
                <w:rFonts w:ascii="Arial" w:hAnsi="Arial"/>
                <w:b/>
                <w:color w:val="173C2A"/>
                <w:sz w:val="20"/>
              </w:rPr>
              <w:t>About the “ten documents” point</w:t>
              <w:br/>
            </w:r>
            <w:r>
              <w:rPr>
                <w:rFonts w:ascii="Arial" w:hAnsi="Arial"/>
                <w:color w:val="172019"/>
                <w:sz w:val="18"/>
              </w:rPr>
              <w:t>The handout encourages a meaningful evidence corpus; it does not require every custom use case to upload exactly ten founder documents. Blueprint V1 gathers multiple web evidence records for each selected research lane. Founder document upload, page-level citations, and LlamaIndex ingestion are deliberately scoped to V2 so the V1 agentic control loop remains complete.</w:t>
            </w:r>
          </w:p>
        </w:tc>
      </w:tr>
    </w:tbl>
    <w:p>
      <w:pPr>
        <w:spacing w:after="0"/>
      </w:pPr>
    </w:p>
    <w:p>
      <w:r>
        <w:br w:type="page"/>
      </w:r>
    </w:p>
    <w:p>
      <w:pPr>
        <w:pStyle w:val="BlueprintKicker"/>
        <w:keepNext/>
      </w:pPr>
      <w:r>
        <w:rPr>
          <w:rFonts w:ascii="Arial" w:hAnsi="Arial"/>
          <w:b w:val="0"/>
        </w:rPr>
        <w:t>09 / SAFE COMPLETION</w:t>
      </w:r>
    </w:p>
    <w:p>
      <w:pPr>
        <w:pStyle w:val="Heading1"/>
        <w:keepNext/>
      </w:pPr>
      <w:r>
        <w:t>Human-in-the-loop, guardrails, and failure handling</w:t>
      </w:r>
    </w:p>
    <w:p>
      <w:pPr>
        <w:jc w:val="center"/>
      </w:pPr>
      <w:r>
        <w:drawing>
          <wp:inline xmlns:a="http://schemas.openxmlformats.org/drawingml/2006/main" xmlns:pic="http://schemas.openxmlformats.org/drawingml/2006/picture">
            <wp:extent cx="6355080" cy="3177540"/>
            <wp:docPr id="8" name="Picture 8"/>
            <wp:cNvGraphicFramePr>
              <a:graphicFrameLocks noChangeAspect="1"/>
            </wp:cNvGraphicFramePr>
            <a:graphic>
              <a:graphicData uri="http://schemas.openxmlformats.org/drawingml/2006/picture">
                <pic:pic>
                  <pic:nvPicPr>
                    <pic:cNvPr id="0" name="08_hitl_failure.png"/>
                    <pic:cNvPicPr/>
                  </pic:nvPicPr>
                  <pic:blipFill>
                    <a:blip r:embed="rId18"/>
                    <a:stretch>
                      <a:fillRect/>
                    </a:stretch>
                  </pic:blipFill>
                  <pic:spPr>
                    <a:xfrm>
                      <a:off x="0" y="0"/>
                      <a:ext cx="6355080" cy="3177540"/>
                    </a:xfrm>
                    <a:prstGeom prst="rect"/>
                  </pic:spPr>
                </pic:pic>
              </a:graphicData>
            </a:graphic>
          </wp:inline>
        </w:drawing>
      </w:r>
    </w:p>
    <w:p>
      <w:pPr>
        <w:pStyle w:val="BlueprintCaption"/>
        <w:jc w:val="center"/>
        <w:keepLines/>
      </w:pPr>
      <w:r>
        <w:rPr>
          <w:rFonts w:ascii="Arial" w:hAnsi="Arial"/>
          <w:b w:val="0"/>
        </w:rPr>
        <w:t>Figure 8. Every failure is classified and mapped to a visible recovery or safe terminal outcome.</w:t>
      </w:r>
    </w:p>
    <w:p>
      <w:pPr>
        <w:pStyle w:val="Heading2"/>
        <w:keepNext/>
      </w:pPr>
      <w:r>
        <w:t>Human checkpoints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C2A"/>
            <w:vAlign w:val="center"/>
          </w:tcPr>
          <w:p>
            <w:pPr>
              <w:spacing w:after="0"/>
            </w:pPr>
            <w:r>
              <w:rPr>
                <w:rFonts w:ascii="Arial" w:hAnsi="Arial"/>
                <w:b/>
                <w:color w:val="FFFFFF"/>
                <w:sz w:val="15"/>
              </w:rPr>
              <w:t>Checkpoint</w:t>
            </w:r>
          </w:p>
        </w:tc>
        <w:tc>
          <w:tcPr>
            <w:tcW w:type="dxa" w:w="3096"/>
            <w:shd w:fill="173C2A"/>
            <w:vAlign w:val="center"/>
          </w:tcPr>
          <w:p>
            <w:pPr>
              <w:spacing w:after="0"/>
            </w:pPr>
            <w:r>
              <w:rPr>
                <w:rFonts w:ascii="Arial" w:hAnsi="Arial"/>
                <w:b/>
                <w:color w:val="FFFFFF"/>
                <w:sz w:val="15"/>
              </w:rPr>
              <w:t>Founder decision</w:t>
            </w:r>
          </w:p>
        </w:tc>
        <w:tc>
          <w:tcPr>
            <w:tcW w:type="dxa" w:w="4320"/>
            <w:shd w:fill="173C2A"/>
            <w:vAlign w:val="center"/>
          </w:tcPr>
          <w:p>
            <w:pPr>
              <w:spacing w:after="0"/>
            </w:pPr>
            <w:r>
              <w:rPr>
                <w:rFonts w:ascii="Arial" w:hAnsi="Arial"/>
                <w:b/>
                <w:color w:val="FFFFFF"/>
                <w:sz w:val="15"/>
              </w:rPr>
              <w:t>Why a human owns it</w:t>
            </w:r>
          </w:p>
        </w:tc>
      </w:tr>
      <w:tr>
        <w:tc>
          <w:tcPr>
            <w:tcW w:type="dxa" w:w="2232"/>
            <w:vAlign w:val="top"/>
          </w:tcPr>
          <w:p>
            <w:pPr>
              <w:spacing w:after="20"/>
            </w:pPr>
            <w:r>
              <w:rPr>
                <w:rFonts w:ascii="Arial" w:hAnsi="Arial"/>
                <w:color w:val="172019"/>
                <w:sz w:val="15"/>
              </w:rPr>
              <w:t>Material ambiguity</w:t>
            </w:r>
          </w:p>
        </w:tc>
        <w:tc>
          <w:tcPr>
            <w:tcW w:type="dxa" w:w="3096"/>
            <w:vAlign w:val="top"/>
          </w:tcPr>
          <w:p>
            <w:pPr>
              <w:spacing w:after="20"/>
            </w:pPr>
            <w:r>
              <w:rPr>
                <w:rFonts w:ascii="Arial" w:hAnsi="Arial"/>
                <w:color w:val="172019"/>
                <w:sz w:val="15"/>
              </w:rPr>
              <w:t>Clarify or preserve unknown</w:t>
            </w:r>
          </w:p>
        </w:tc>
        <w:tc>
          <w:tcPr>
            <w:tcW w:type="dxa" w:w="4320"/>
            <w:vAlign w:val="top"/>
          </w:tcPr>
          <w:p>
            <w:pPr>
              <w:spacing w:after="20"/>
            </w:pPr>
            <w:r>
              <w:rPr>
                <w:rFonts w:ascii="Arial" w:hAnsi="Arial"/>
                <w:color w:val="172019"/>
                <w:sz w:val="15"/>
              </w:rPr>
              <w:t>The model cannot choose the founder’s intent</w:t>
            </w:r>
          </w:p>
        </w:tc>
      </w:tr>
      <w:tr>
        <w:tc>
          <w:tcPr>
            <w:tcW w:type="dxa" w:w="2232"/>
            <w:shd w:fill="F6F7F5"/>
            <w:vAlign w:val="top"/>
          </w:tcPr>
          <w:p>
            <w:pPr>
              <w:spacing w:after="20"/>
            </w:pPr>
            <w:r>
              <w:rPr>
                <w:rFonts w:ascii="Arial" w:hAnsi="Arial"/>
                <w:color w:val="172019"/>
                <w:sz w:val="15"/>
              </w:rPr>
              <w:t>Gate 1 verdict</w:t>
            </w:r>
          </w:p>
        </w:tc>
        <w:tc>
          <w:tcPr>
            <w:tcW w:type="dxa" w:w="3096"/>
            <w:shd w:fill="F6F7F5"/>
            <w:vAlign w:val="top"/>
          </w:tcPr>
          <w:p>
            <w:pPr>
              <w:spacing w:after="20"/>
            </w:pPr>
            <w:r>
              <w:rPr>
                <w:rFonts w:ascii="Arial" w:hAnsi="Arial"/>
                <w:color w:val="172019"/>
                <w:sz w:val="15"/>
              </w:rPr>
              <w:t>Proceed, revise, pause, or stop</w:t>
            </w:r>
          </w:p>
        </w:tc>
        <w:tc>
          <w:tcPr>
            <w:tcW w:type="dxa" w:w="4320"/>
            <w:shd w:fill="F6F7F5"/>
            <w:vAlign w:val="top"/>
          </w:tcPr>
          <w:p>
            <w:pPr>
              <w:spacing w:after="20"/>
            </w:pPr>
            <w:r>
              <w:rPr>
                <w:rFonts w:ascii="Arial" w:hAnsi="Arial"/>
                <w:color w:val="172019"/>
                <w:sz w:val="15"/>
              </w:rPr>
              <w:t>Research evidence does not authorize business commitment</w:t>
            </w:r>
          </w:p>
        </w:tc>
      </w:tr>
      <w:tr>
        <w:tc>
          <w:tcPr>
            <w:tcW w:type="dxa" w:w="2232"/>
            <w:vAlign w:val="top"/>
          </w:tcPr>
          <w:p>
            <w:pPr>
              <w:spacing w:after="20"/>
            </w:pPr>
            <w:r>
              <w:rPr>
                <w:rFonts w:ascii="Arial" w:hAnsi="Arial"/>
                <w:color w:val="172019"/>
                <w:sz w:val="15"/>
              </w:rPr>
              <w:t>Gate 2 readiness</w:t>
            </w:r>
          </w:p>
        </w:tc>
        <w:tc>
          <w:tcPr>
            <w:tcW w:type="dxa" w:w="3096"/>
            <w:vAlign w:val="top"/>
          </w:tcPr>
          <w:p>
            <w:pPr>
              <w:spacing w:after="20"/>
            </w:pPr>
            <w:r>
              <w:rPr>
                <w:rFonts w:ascii="Arial" w:hAnsi="Arial"/>
                <w:color w:val="172019"/>
                <w:sz w:val="15"/>
              </w:rPr>
              <w:t>Generate action Blueprint or continue proof</w:t>
            </w:r>
          </w:p>
        </w:tc>
        <w:tc>
          <w:tcPr>
            <w:tcW w:type="dxa" w:w="4320"/>
            <w:vAlign w:val="top"/>
          </w:tcPr>
          <w:p>
            <w:pPr>
              <w:spacing w:after="20"/>
            </w:pPr>
            <w:r>
              <w:rPr>
                <w:rFonts w:ascii="Arial" w:hAnsi="Arial"/>
                <w:color w:val="172019"/>
                <w:sz w:val="15"/>
              </w:rPr>
              <w:t>Founder accepts residual risk</w:t>
            </w:r>
          </w:p>
        </w:tc>
      </w:tr>
      <w:tr>
        <w:tc>
          <w:tcPr>
            <w:tcW w:type="dxa" w:w="2232"/>
            <w:shd w:fill="F6F7F5"/>
            <w:vAlign w:val="top"/>
          </w:tcPr>
          <w:p>
            <w:pPr>
              <w:spacing w:after="20"/>
            </w:pPr>
            <w:r>
              <w:rPr>
                <w:rFonts w:ascii="Arial" w:hAnsi="Arial"/>
                <w:color w:val="172019"/>
                <w:sz w:val="15"/>
              </w:rPr>
              <w:t>Profile correction / rerun</w:t>
            </w:r>
          </w:p>
        </w:tc>
        <w:tc>
          <w:tcPr>
            <w:tcW w:type="dxa" w:w="3096"/>
            <w:shd w:fill="F6F7F5"/>
            <w:vAlign w:val="top"/>
          </w:tcPr>
          <w:p>
            <w:pPr>
              <w:spacing w:after="20"/>
            </w:pPr>
            <w:r>
              <w:rPr>
                <w:rFonts w:ascii="Arial" w:hAnsi="Arial"/>
                <w:color w:val="172019"/>
                <w:sz w:val="15"/>
              </w:rPr>
              <w:t>Approve impact preview</w:t>
            </w:r>
          </w:p>
        </w:tc>
        <w:tc>
          <w:tcPr>
            <w:tcW w:type="dxa" w:w="4320"/>
            <w:shd w:fill="F6F7F5"/>
            <w:vAlign w:val="top"/>
          </w:tcPr>
          <w:p>
            <w:pPr>
              <w:spacing w:after="20"/>
            </w:pPr>
            <w:r>
              <w:rPr>
                <w:rFonts w:ascii="Arial" w:hAnsi="Arial"/>
                <w:color w:val="172019"/>
                <w:sz w:val="15"/>
              </w:rPr>
              <w:t>A rerun changes downstream artifacts and versions</w:t>
            </w:r>
          </w:p>
        </w:tc>
      </w:tr>
      <w:tr>
        <w:tc>
          <w:tcPr>
            <w:tcW w:type="dxa" w:w="2232"/>
            <w:vAlign w:val="top"/>
          </w:tcPr>
          <w:p>
            <w:pPr>
              <w:spacing w:after="20"/>
            </w:pPr>
            <w:r>
              <w:rPr>
                <w:rFonts w:ascii="Arial" w:hAnsi="Arial"/>
                <w:color w:val="172019"/>
                <w:sz w:val="15"/>
              </w:rPr>
              <w:t>Repeated failure / contradiction</w:t>
            </w:r>
          </w:p>
        </w:tc>
        <w:tc>
          <w:tcPr>
            <w:tcW w:type="dxa" w:w="3096"/>
            <w:vAlign w:val="top"/>
          </w:tcPr>
          <w:p>
            <w:pPr>
              <w:spacing w:after="20"/>
            </w:pPr>
            <w:r>
              <w:rPr>
                <w:rFonts w:ascii="Arial" w:hAnsi="Arial"/>
                <w:color w:val="172019"/>
                <w:sz w:val="15"/>
              </w:rPr>
              <w:t>Supply information, accept partial, or stop</w:t>
            </w:r>
          </w:p>
        </w:tc>
        <w:tc>
          <w:tcPr>
            <w:tcW w:type="dxa" w:w="4320"/>
            <w:vAlign w:val="top"/>
          </w:tcPr>
          <w:p>
            <w:pPr>
              <w:spacing w:after="20"/>
            </w:pPr>
            <w:r>
              <w:rPr>
                <w:rFonts w:ascii="Arial" w:hAnsi="Arial"/>
                <w:color w:val="172019"/>
                <w:sz w:val="15"/>
              </w:rPr>
              <w:t>Avoid infinite retry and fabricated reconciliation</w:t>
            </w:r>
          </w:p>
        </w:tc>
      </w:tr>
      <w:tr>
        <w:tc>
          <w:tcPr>
            <w:tcW w:type="dxa" w:w="2232"/>
            <w:shd w:fill="F6F7F5"/>
            <w:vAlign w:val="top"/>
          </w:tcPr>
          <w:p>
            <w:pPr>
              <w:spacing w:after="20"/>
            </w:pPr>
            <w:r>
              <w:rPr>
                <w:rFonts w:ascii="Arial" w:hAnsi="Arial"/>
                <w:color w:val="172019"/>
                <w:sz w:val="15"/>
              </w:rPr>
              <w:t>External write request</w:t>
            </w:r>
          </w:p>
        </w:tc>
        <w:tc>
          <w:tcPr>
            <w:tcW w:type="dxa" w:w="3096"/>
            <w:shd w:fill="F6F7F5"/>
            <w:vAlign w:val="top"/>
          </w:tcPr>
          <w:p>
            <w:pPr>
              <w:spacing w:after="20"/>
            </w:pPr>
            <w:r>
              <w:rPr>
                <w:rFonts w:ascii="Arial" w:hAnsi="Arial"/>
                <w:color w:val="172019"/>
                <w:sz w:val="15"/>
              </w:rPr>
              <w:t>Denied in V1</w:t>
            </w:r>
          </w:p>
        </w:tc>
        <w:tc>
          <w:tcPr>
            <w:tcW w:type="dxa" w:w="4320"/>
            <w:shd w:fill="F6F7F5"/>
            <w:vAlign w:val="top"/>
          </w:tcPr>
          <w:p>
            <w:pPr>
              <w:spacing w:after="20"/>
            </w:pPr>
            <w:r>
              <w:rPr>
                <w:rFonts w:ascii="Arial" w:hAnsi="Arial"/>
                <w:color w:val="172019"/>
                <w:sz w:val="15"/>
              </w:rPr>
              <w:t>The product has no write authority beyond its own state</w:t>
            </w:r>
          </w:p>
        </w:tc>
      </w:tr>
    </w:tbl>
    <w:p>
      <w:pPr>
        <w:spacing w:after="0"/>
      </w:pPr>
    </w:p>
    <w:p>
      <w:pPr>
        <w:pStyle w:val="Heading2"/>
        <w:keepNext/>
      </w:pPr>
      <w:r>
        <w:t>Failure matrix</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73C2A"/>
            <w:vAlign w:val="center"/>
          </w:tcPr>
          <w:p>
            <w:pPr>
              <w:spacing w:after="0"/>
            </w:pPr>
            <w:r>
              <w:rPr>
                <w:rFonts w:ascii="Arial" w:hAnsi="Arial"/>
                <w:b/>
                <w:color w:val="FFFFFF"/>
                <w:sz w:val="15"/>
              </w:rPr>
              <w:t>Failure</w:t>
            </w:r>
          </w:p>
        </w:tc>
        <w:tc>
          <w:tcPr>
            <w:tcW w:type="dxa" w:w="3168"/>
            <w:shd w:fill="173C2A"/>
            <w:vAlign w:val="center"/>
          </w:tcPr>
          <w:p>
            <w:pPr>
              <w:spacing w:after="0"/>
            </w:pPr>
            <w:r>
              <w:rPr>
                <w:rFonts w:ascii="Arial" w:hAnsi="Arial"/>
                <w:b/>
                <w:color w:val="FFFFFF"/>
                <w:sz w:val="15"/>
              </w:rPr>
              <w:t>Detection</w:t>
            </w:r>
          </w:p>
        </w:tc>
        <w:tc>
          <w:tcPr>
            <w:tcW w:type="dxa" w:w="4248"/>
            <w:shd w:fill="173C2A"/>
            <w:vAlign w:val="center"/>
          </w:tcPr>
          <w:p>
            <w:pPr>
              <w:spacing w:after="0"/>
            </w:pPr>
            <w:r>
              <w:rPr>
                <w:rFonts w:ascii="Arial" w:hAnsi="Arial"/>
                <w:b/>
                <w:color w:val="FFFFFF"/>
                <w:sz w:val="15"/>
              </w:rPr>
              <w:t>Response</w:t>
            </w:r>
          </w:p>
        </w:tc>
      </w:tr>
      <w:tr>
        <w:tc>
          <w:tcPr>
            <w:tcW w:type="dxa" w:w="2232"/>
            <w:vAlign w:val="top"/>
          </w:tcPr>
          <w:p>
            <w:pPr>
              <w:spacing w:after="20"/>
            </w:pPr>
            <w:r>
              <w:rPr>
                <w:rFonts w:ascii="Arial" w:hAnsi="Arial"/>
                <w:color w:val="172019"/>
                <w:sz w:val="15"/>
              </w:rPr>
              <w:t>Invalid or missing input</w:t>
            </w:r>
          </w:p>
        </w:tc>
        <w:tc>
          <w:tcPr>
            <w:tcW w:type="dxa" w:w="3168"/>
            <w:vAlign w:val="top"/>
          </w:tcPr>
          <w:p>
            <w:pPr>
              <w:spacing w:after="20"/>
            </w:pPr>
            <w:r>
              <w:rPr>
                <w:rFonts w:ascii="Arial" w:hAnsi="Arial"/>
                <w:color w:val="172019"/>
                <w:sz w:val="15"/>
              </w:rPr>
              <w:t>Schema and scope validation</w:t>
            </w:r>
          </w:p>
        </w:tc>
        <w:tc>
          <w:tcPr>
            <w:tcW w:type="dxa" w:w="4248"/>
            <w:vAlign w:val="top"/>
          </w:tcPr>
          <w:p>
            <w:pPr>
              <w:spacing w:after="20"/>
            </w:pPr>
            <w:r>
              <w:rPr>
                <w:rFonts w:ascii="Arial" w:hAnsi="Arial"/>
                <w:color w:val="172019"/>
                <w:sz w:val="15"/>
              </w:rPr>
              <w:t>Clarify; no run created with unsafe assumptions</w:t>
            </w:r>
          </w:p>
        </w:tc>
      </w:tr>
      <w:tr>
        <w:tc>
          <w:tcPr>
            <w:tcW w:type="dxa" w:w="2232"/>
            <w:shd w:fill="F6F7F5"/>
            <w:vAlign w:val="top"/>
          </w:tcPr>
          <w:p>
            <w:pPr>
              <w:spacing w:after="20"/>
            </w:pPr>
            <w:r>
              <w:rPr>
                <w:rFonts w:ascii="Arial" w:hAnsi="Arial"/>
                <w:color w:val="172019"/>
                <w:sz w:val="15"/>
              </w:rPr>
              <w:t>Empty search results</w:t>
            </w:r>
          </w:p>
        </w:tc>
        <w:tc>
          <w:tcPr>
            <w:tcW w:type="dxa" w:w="3168"/>
            <w:shd w:fill="F6F7F5"/>
            <w:vAlign w:val="top"/>
          </w:tcPr>
          <w:p>
            <w:pPr>
              <w:spacing w:after="20"/>
            </w:pPr>
            <w:r>
              <w:rPr>
                <w:rFonts w:ascii="Arial" w:hAnsi="Arial"/>
                <w:color w:val="172019"/>
                <w:sz w:val="15"/>
              </w:rPr>
              <w:t>Structured provider response</w:t>
            </w:r>
          </w:p>
        </w:tc>
        <w:tc>
          <w:tcPr>
            <w:tcW w:type="dxa" w:w="4248"/>
            <w:shd w:fill="F6F7F5"/>
            <w:vAlign w:val="top"/>
          </w:tcPr>
          <w:p>
            <w:pPr>
              <w:spacing w:after="20"/>
            </w:pPr>
            <w:r>
              <w:rPr>
                <w:rFonts w:ascii="Arial" w:hAnsi="Arial"/>
                <w:color w:val="172019"/>
                <w:sz w:val="15"/>
              </w:rPr>
              <w:t>Requery within budget; else record unknown/partial</w:t>
            </w:r>
          </w:p>
        </w:tc>
      </w:tr>
      <w:tr>
        <w:tc>
          <w:tcPr>
            <w:tcW w:type="dxa" w:w="2232"/>
            <w:vAlign w:val="top"/>
          </w:tcPr>
          <w:p>
            <w:pPr>
              <w:spacing w:after="20"/>
            </w:pPr>
            <w:r>
              <w:rPr>
                <w:rFonts w:ascii="Arial" w:hAnsi="Arial"/>
                <w:color w:val="172019"/>
                <w:sz w:val="15"/>
              </w:rPr>
              <w:t>Timeout or 429</w:t>
            </w:r>
          </w:p>
        </w:tc>
        <w:tc>
          <w:tcPr>
            <w:tcW w:type="dxa" w:w="3168"/>
            <w:vAlign w:val="top"/>
          </w:tcPr>
          <w:p>
            <w:pPr>
              <w:spacing w:after="20"/>
            </w:pPr>
            <w:r>
              <w:rPr>
                <w:rFonts w:ascii="Arial" w:hAnsi="Arial"/>
                <w:color w:val="172019"/>
                <w:sz w:val="15"/>
              </w:rPr>
              <w:t>Typed tool error</w:t>
            </w:r>
          </w:p>
        </w:tc>
        <w:tc>
          <w:tcPr>
            <w:tcW w:type="dxa" w:w="4248"/>
            <w:vAlign w:val="top"/>
          </w:tcPr>
          <w:p>
            <w:pPr>
              <w:spacing w:after="20"/>
            </w:pPr>
            <w:r>
              <w:rPr>
                <w:rFonts w:ascii="Arial" w:hAnsi="Arial"/>
                <w:color w:val="172019"/>
                <w:sz w:val="15"/>
              </w:rPr>
              <w:t>Bounded retry; then replan or partial</w:t>
            </w:r>
          </w:p>
        </w:tc>
      </w:tr>
      <w:tr>
        <w:tc>
          <w:tcPr>
            <w:tcW w:type="dxa" w:w="2232"/>
            <w:shd w:fill="F6F7F5"/>
            <w:vAlign w:val="top"/>
          </w:tcPr>
          <w:p>
            <w:pPr>
              <w:spacing w:after="20"/>
            </w:pPr>
            <w:r>
              <w:rPr>
                <w:rFonts w:ascii="Arial" w:hAnsi="Arial"/>
                <w:color w:val="172019"/>
                <w:sz w:val="15"/>
              </w:rPr>
              <w:t>Provider outage</w:t>
            </w:r>
          </w:p>
        </w:tc>
        <w:tc>
          <w:tcPr>
            <w:tcW w:type="dxa" w:w="3168"/>
            <w:shd w:fill="F6F7F5"/>
            <w:vAlign w:val="top"/>
          </w:tcPr>
          <w:p>
            <w:pPr>
              <w:spacing w:after="20"/>
            </w:pPr>
            <w:r>
              <w:rPr>
                <w:rFonts w:ascii="Arial" w:hAnsi="Arial"/>
                <w:color w:val="172019"/>
                <w:sz w:val="15"/>
              </w:rPr>
              <w:t>Gateway failure</w:t>
            </w:r>
          </w:p>
        </w:tc>
        <w:tc>
          <w:tcPr>
            <w:tcW w:type="dxa" w:w="4248"/>
            <w:shd w:fill="F6F7F5"/>
            <w:vAlign w:val="top"/>
          </w:tcPr>
          <w:p>
            <w:pPr>
              <w:spacing w:after="20"/>
            </w:pPr>
            <w:r>
              <w:rPr>
                <w:rFonts w:ascii="Arial" w:hAnsi="Arial"/>
                <w:color w:val="172019"/>
                <w:sz w:val="15"/>
              </w:rPr>
              <w:t>Preserve completed siblings; visible safe failure</w:t>
            </w:r>
          </w:p>
        </w:tc>
      </w:tr>
      <w:tr>
        <w:tc>
          <w:tcPr>
            <w:tcW w:type="dxa" w:w="2232"/>
            <w:vAlign w:val="top"/>
          </w:tcPr>
          <w:p>
            <w:pPr>
              <w:spacing w:after="20"/>
            </w:pPr>
            <w:r>
              <w:rPr>
                <w:rFonts w:ascii="Arial" w:hAnsi="Arial"/>
                <w:color w:val="172019"/>
                <w:sz w:val="15"/>
              </w:rPr>
              <w:t>Malformed model JSON</w:t>
            </w:r>
          </w:p>
        </w:tc>
        <w:tc>
          <w:tcPr>
            <w:tcW w:type="dxa" w:w="3168"/>
            <w:vAlign w:val="top"/>
          </w:tcPr>
          <w:p>
            <w:pPr>
              <w:spacing w:after="20"/>
            </w:pPr>
            <w:r>
              <w:rPr>
                <w:rFonts w:ascii="Arial" w:hAnsi="Arial"/>
                <w:color w:val="172019"/>
                <w:sz w:val="15"/>
              </w:rPr>
              <w:t>Parser/schema validator</w:t>
            </w:r>
          </w:p>
        </w:tc>
        <w:tc>
          <w:tcPr>
            <w:tcW w:type="dxa" w:w="4248"/>
            <w:vAlign w:val="top"/>
          </w:tcPr>
          <w:p>
            <w:pPr>
              <w:spacing w:after="20"/>
            </w:pPr>
            <w:r>
              <w:rPr>
                <w:rFonts w:ascii="Arial" w:hAnsi="Arial"/>
                <w:color w:val="172019"/>
                <w:sz w:val="15"/>
              </w:rPr>
              <w:t>One repair; never accept prose fallback silently</w:t>
            </w:r>
          </w:p>
        </w:tc>
      </w:tr>
      <w:tr>
        <w:tc>
          <w:tcPr>
            <w:tcW w:type="dxa" w:w="2232"/>
            <w:shd w:fill="F6F7F5"/>
            <w:vAlign w:val="top"/>
          </w:tcPr>
          <w:p>
            <w:pPr>
              <w:spacing w:after="20"/>
            </w:pPr>
            <w:r>
              <w:rPr>
                <w:rFonts w:ascii="Arial" w:hAnsi="Arial"/>
                <w:color w:val="172019"/>
                <w:sz w:val="15"/>
              </w:rPr>
              <w:t>Unsupported claim</w:t>
            </w:r>
          </w:p>
        </w:tc>
        <w:tc>
          <w:tcPr>
            <w:tcW w:type="dxa" w:w="3168"/>
            <w:shd w:fill="F6F7F5"/>
            <w:vAlign w:val="top"/>
          </w:tcPr>
          <w:p>
            <w:pPr>
              <w:spacing w:after="20"/>
            </w:pPr>
            <w:r>
              <w:rPr>
                <w:rFonts w:ascii="Arial" w:hAnsi="Arial"/>
                <w:color w:val="172019"/>
                <w:sz w:val="15"/>
              </w:rPr>
              <w:t>Evidence allowlist/auditor</w:t>
            </w:r>
          </w:p>
        </w:tc>
        <w:tc>
          <w:tcPr>
            <w:tcW w:type="dxa" w:w="4248"/>
            <w:shd w:fill="F6F7F5"/>
            <w:vAlign w:val="top"/>
          </w:tcPr>
          <w:p>
            <w:pPr>
              <w:spacing w:after="20"/>
            </w:pPr>
            <w:r>
              <w:rPr>
                <w:rFonts w:ascii="Arial" w:hAnsi="Arial"/>
                <w:color w:val="172019"/>
                <w:sz w:val="15"/>
              </w:rPr>
              <w:t>Reject or downgrade to assumption/unknown</w:t>
            </w:r>
          </w:p>
        </w:tc>
      </w:tr>
      <w:tr>
        <w:tc>
          <w:tcPr>
            <w:tcW w:type="dxa" w:w="2232"/>
            <w:vAlign w:val="top"/>
          </w:tcPr>
          <w:p>
            <w:pPr>
              <w:spacing w:after="20"/>
            </w:pPr>
            <w:r>
              <w:rPr>
                <w:rFonts w:ascii="Arial" w:hAnsi="Arial"/>
                <w:color w:val="172019"/>
                <w:sz w:val="15"/>
              </w:rPr>
              <w:t>Stale checkpoint/rerun</w:t>
            </w:r>
          </w:p>
        </w:tc>
        <w:tc>
          <w:tcPr>
            <w:tcW w:type="dxa" w:w="3168"/>
            <w:vAlign w:val="top"/>
          </w:tcPr>
          <w:p>
            <w:pPr>
              <w:spacing w:after="20"/>
            </w:pPr>
            <w:r>
              <w:rPr>
                <w:rFonts w:ascii="Arial" w:hAnsi="Arial"/>
                <w:color w:val="172019"/>
                <w:sz w:val="15"/>
              </w:rPr>
              <w:t>State-version check</w:t>
            </w:r>
          </w:p>
        </w:tc>
        <w:tc>
          <w:tcPr>
            <w:tcW w:type="dxa" w:w="4248"/>
            <w:vAlign w:val="top"/>
          </w:tcPr>
          <w:p>
            <w:pPr>
              <w:spacing w:after="20"/>
            </w:pPr>
            <w:r>
              <w:rPr>
                <w:rFonts w:ascii="Arial" w:hAnsi="Arial"/>
                <w:color w:val="172019"/>
                <w:sz w:val="15"/>
              </w:rPr>
              <w:t>Reject replay; reload current state</w:t>
            </w:r>
          </w:p>
        </w:tc>
      </w:tr>
      <w:tr>
        <w:tc>
          <w:tcPr>
            <w:tcW w:type="dxa" w:w="2232"/>
            <w:shd w:fill="F6F7F5"/>
            <w:vAlign w:val="top"/>
          </w:tcPr>
          <w:p>
            <w:pPr>
              <w:spacing w:after="20"/>
            </w:pPr>
            <w:r>
              <w:rPr>
                <w:rFonts w:ascii="Arial" w:hAnsi="Arial"/>
                <w:color w:val="172019"/>
                <w:sz w:val="15"/>
              </w:rPr>
              <w:t>Unsafe/out-of-scope ask</w:t>
            </w:r>
          </w:p>
        </w:tc>
        <w:tc>
          <w:tcPr>
            <w:tcW w:type="dxa" w:w="3168"/>
            <w:shd w:fill="F6F7F5"/>
            <w:vAlign w:val="top"/>
          </w:tcPr>
          <w:p>
            <w:pPr>
              <w:spacing w:after="20"/>
            </w:pPr>
            <w:r>
              <w:rPr>
                <w:rFonts w:ascii="Arial" w:hAnsi="Arial"/>
                <w:color w:val="172019"/>
                <w:sz w:val="15"/>
              </w:rPr>
              <w:t>Deterministic policy</w:t>
            </w:r>
          </w:p>
        </w:tc>
        <w:tc>
          <w:tcPr>
            <w:tcW w:type="dxa" w:w="4248"/>
            <w:shd w:fill="F6F7F5"/>
            <w:vAlign w:val="top"/>
          </w:tcPr>
          <w:p>
            <w:pPr>
              <w:spacing w:after="20"/>
            </w:pPr>
            <w:r>
              <w:rPr>
                <w:rFonts w:ascii="Arial" w:hAnsi="Arial"/>
                <w:color w:val="172019"/>
                <w:sz w:val="15"/>
              </w:rPr>
              <w:t>Clear denial and supported alternatives</w:t>
            </w:r>
          </w:p>
        </w:tc>
      </w:tr>
      <w:tr>
        <w:tc>
          <w:tcPr>
            <w:tcW w:type="dxa" w:w="2232"/>
            <w:vAlign w:val="top"/>
          </w:tcPr>
          <w:p>
            <w:pPr>
              <w:spacing w:after="20"/>
            </w:pPr>
            <w:r>
              <w:rPr>
                <w:rFonts w:ascii="Arial" w:hAnsi="Arial"/>
                <w:color w:val="172019"/>
                <w:sz w:val="15"/>
              </w:rPr>
              <w:t>Unhandled workflow error</w:t>
            </w:r>
          </w:p>
        </w:tc>
        <w:tc>
          <w:tcPr>
            <w:tcW w:type="dxa" w:w="3168"/>
            <w:vAlign w:val="top"/>
          </w:tcPr>
          <w:p>
            <w:pPr>
              <w:spacing w:after="20"/>
            </w:pPr>
            <w:r>
              <w:rPr>
                <w:rFonts w:ascii="Arial" w:hAnsi="Arial"/>
                <w:color w:val="172019"/>
                <w:sz w:val="15"/>
              </w:rPr>
              <w:t>BP-90 global error audit</w:t>
            </w:r>
          </w:p>
        </w:tc>
        <w:tc>
          <w:tcPr>
            <w:tcW w:type="dxa" w:w="4248"/>
            <w:vAlign w:val="top"/>
          </w:tcPr>
          <w:p>
            <w:pPr>
              <w:spacing w:after="20"/>
            </w:pPr>
            <w:r>
              <w:rPr>
                <w:rFonts w:ascii="Arial" w:hAnsi="Arial"/>
                <w:color w:val="172019"/>
                <w:sz w:val="15"/>
              </w:rPr>
              <w:t>Redacted audit record and visible terminal outcome</w:t>
            </w:r>
          </w:p>
        </w:tc>
      </w:tr>
    </w:tbl>
    <w:p>
      <w:pPr>
        <w:spacing w:after="0"/>
      </w:pPr>
    </w:p>
    <w:p>
      <w:r>
        <w:br w:type="page"/>
      </w:r>
    </w:p>
    <w:p>
      <w:pPr>
        <w:pStyle w:val="BlueprintKicker"/>
        <w:keepNext/>
      </w:pPr>
      <w:r>
        <w:rPr>
          <w:rFonts w:ascii="Arial" w:hAnsi="Arial"/>
          <w:b w:val="0"/>
        </w:rPr>
        <w:t>10 / EXPERIENCE</w:t>
      </w:r>
    </w:p>
    <w:p>
      <w:pPr>
        <w:pStyle w:val="Heading1"/>
        <w:keepNext/>
      </w:pPr>
      <w:r>
        <w:t>Interface and founder outputs</w:t>
      </w:r>
    </w:p>
    <w:p>
      <w:r>
        <w:rPr>
          <w:rFonts w:ascii="Arial" w:hAnsi="Arial"/>
          <w:b w:val="0"/>
        </w:rPr>
        <w:t>The workspace uses a three-pane composition: a narrow Roadmap &amp; Progress rail, a central evidence workspace, and a collapsible companion rail. The central screen begins with four decision KPIs—Decision Score, Evidence Coverage, Open Risks, and Blueprint Progress—using native Arial/Segoe UI typography, restrained state color, directional cues, and hover-only explanations.</w:t>
      </w:r>
    </w:p>
    <w:p>
      <w:pPr>
        <w:pStyle w:val="Heading2"/>
        <w:keepNext/>
      </w:pPr>
      <w:r>
        <w:t>Output anatomy</w:t>
      </w:r>
    </w:p>
    <w:p>
      <w:pPr>
        <w:pStyle w:val="ListBullet"/>
        <w:spacing w:after="60"/>
        <w:ind w:left="288" w:hanging="173"/>
      </w:pPr>
      <w:r>
        <w:rPr>
          <w:rFonts w:ascii="Arial" w:hAnsi="Arial"/>
          <w:sz w:val="18"/>
        </w:rPr>
        <w:t>Top KPIs summarize decision readiness, accepted evidence, open risk, and roadmap completion. Hover reveals the why; it never replaces the detailed section.</w:t>
      </w:r>
    </w:p>
    <w:p>
      <w:pPr>
        <w:pStyle w:val="ListBullet"/>
        <w:spacing w:after="60"/>
        <w:ind w:left="288" w:hanging="173"/>
      </w:pPr>
      <w:r>
        <w:rPr>
          <w:rFonts w:ascii="Arial" w:hAnsi="Arial"/>
          <w:sz w:val="18"/>
        </w:rPr>
        <w:t>Each research section contains a plain-language summary, detailed findings, assumptions, risks, unknowns, limitations, sources, and next actions.</w:t>
      </w:r>
    </w:p>
    <w:p>
      <w:pPr>
        <w:pStyle w:val="ListBullet"/>
        <w:spacing w:after="60"/>
        <w:ind w:left="288" w:hanging="173"/>
      </w:pPr>
      <w:r>
        <w:rPr>
          <w:rFonts w:ascii="Arial" w:hAnsi="Arial"/>
          <w:sz w:val="18"/>
        </w:rPr>
        <w:t>The right companion keeps a stable founder checklist and collapsible sources/background-process details.</w:t>
      </w:r>
    </w:p>
    <w:p>
      <w:pPr>
        <w:pStyle w:val="ListBullet"/>
        <w:spacing w:after="60"/>
        <w:ind w:left="288" w:hanging="173"/>
      </w:pPr>
      <w:r>
        <w:rPr>
          <w:rFonts w:ascii="Arial" w:hAnsi="Arial"/>
          <w:sz w:val="18"/>
        </w:rPr>
        <w:t>The contextual chat is scoped to the selected section and can explain evidence, actionables, and recommended next moves. It refuses unsupported answers and unstarted-section invention.</w:t>
      </w:r>
    </w:p>
    <w:p>
      <w:pPr>
        <w:pStyle w:val="ListBullet"/>
        <w:spacing w:after="60"/>
        <w:ind w:left="288" w:hanging="173"/>
      </w:pPr>
      <w:r>
        <w:rPr>
          <w:rFonts w:ascii="Arial" w:hAnsi="Arial"/>
          <w:sz w:val="18"/>
        </w:rPr>
        <w:t>Open Full Blueprint and Financial Plan launch dedicated views; reruns remain approval-gated and versioned.</w:t>
      </w:r>
    </w:p>
    <w:p>
      <w:pPr>
        <w:jc w:val="center"/>
      </w:pPr>
      <w:r>
        <w:drawing>
          <wp:inline xmlns:a="http://schemas.openxmlformats.org/drawingml/2006/main" xmlns:pic="http://schemas.openxmlformats.org/drawingml/2006/picture">
            <wp:extent cx="6172200" cy="4624333"/>
            <wp:docPr id="9" name="Picture 9"/>
            <wp:cNvGraphicFramePr>
              <a:graphicFrameLocks noChangeAspect="1"/>
            </wp:cNvGraphicFramePr>
            <a:graphic>
              <a:graphicData uri="http://schemas.openxmlformats.org/drawingml/2006/picture">
                <pic:pic>
                  <pic:nvPicPr>
                    <pic:cNvPr id="0" name="landing-top-updated.png"/>
                    <pic:cNvPicPr/>
                  </pic:nvPicPr>
                  <pic:blipFill>
                    <a:blip r:embed="rId19"/>
                    <a:stretch>
                      <a:fillRect/>
                    </a:stretch>
                  </pic:blipFill>
                  <pic:spPr>
                    <a:xfrm>
                      <a:off x="0" y="0"/>
                      <a:ext cx="6172200" cy="4624333"/>
                    </a:xfrm>
                    <a:prstGeom prst="rect"/>
                  </pic:spPr>
                </pic:pic>
              </a:graphicData>
            </a:graphic>
          </wp:inline>
        </w:drawing>
      </w:r>
    </w:p>
    <w:p>
      <w:pPr>
        <w:pStyle w:val="BlueprintCaption"/>
        <w:jc w:val="center"/>
        <w:keepLines/>
      </w:pPr>
      <w:r>
        <w:rPr>
          <w:rFonts w:ascii="Arial" w:hAnsi="Arial"/>
          <w:b w:val="0"/>
        </w:rPr>
        <w:t>Figure 9. The landing page communicates the promise and starts from the founder’s unfinished idea.</w:t>
      </w:r>
    </w:p>
    <w:p>
      <w:pPr>
        <w:jc w:val="center"/>
      </w:pPr>
      <w:r>
        <w:drawing>
          <wp:inline xmlns:a="http://schemas.openxmlformats.org/drawingml/2006/main" xmlns:pic="http://schemas.openxmlformats.org/drawingml/2006/picture">
            <wp:extent cx="6172200" cy="4624333"/>
            <wp:docPr id="10" name="Picture 10"/>
            <wp:cNvGraphicFramePr>
              <a:graphicFrameLocks noChangeAspect="1"/>
            </wp:cNvGraphicFramePr>
            <a:graphic>
              <a:graphicData uri="http://schemas.openxmlformats.org/drawingml/2006/picture">
                <pic:pic>
                  <pic:nvPicPr>
                    <pic:cNvPr id="0" name="dashboard-kpi-strip.png"/>
                    <pic:cNvPicPr/>
                  </pic:nvPicPr>
                  <pic:blipFill>
                    <a:blip r:embed="rId20"/>
                    <a:stretch>
                      <a:fillRect/>
                    </a:stretch>
                  </pic:blipFill>
                  <pic:spPr>
                    <a:xfrm>
                      <a:off x="0" y="0"/>
                      <a:ext cx="6172200" cy="4624333"/>
                    </a:xfrm>
                    <a:prstGeom prst="rect"/>
                  </pic:spPr>
                </pic:pic>
              </a:graphicData>
            </a:graphic>
          </wp:inline>
        </w:drawing>
      </w:r>
    </w:p>
    <w:p>
      <w:pPr>
        <w:pStyle w:val="BlueprintCaption"/>
        <w:jc w:val="center"/>
        <w:keepLines/>
      </w:pPr>
      <w:r>
        <w:rPr>
          <w:rFonts w:ascii="Arial" w:hAnsi="Arial"/>
          <w:b w:val="0"/>
        </w:rPr>
        <w:t>Figure 10. Dashboard concept: four KPIs, roadmap navigation, central work, and companion actions.</w:t>
      </w:r>
    </w:p>
    <w:p>
      <w:pPr>
        <w:jc w:val="center"/>
      </w:pPr>
      <w:r>
        <w:drawing>
          <wp:inline xmlns:a="http://schemas.openxmlformats.org/drawingml/2006/main" xmlns:pic="http://schemas.openxmlformats.org/drawingml/2006/picture">
            <wp:extent cx="6172200" cy="3471862"/>
            <wp:docPr id="11" name="Picture 11"/>
            <wp:cNvGraphicFramePr>
              <a:graphicFrameLocks noChangeAspect="1"/>
            </wp:cNvGraphicFramePr>
            <a:graphic>
              <a:graphicData uri="http://schemas.openxmlformats.org/drawingml/2006/picture">
                <pic:pic>
                  <pic:nvPicPr>
                    <pic:cNvPr id="0" name="full-blueprint-readable.png"/>
                    <pic:cNvPicPr/>
                  </pic:nvPicPr>
                  <pic:blipFill>
                    <a:blip r:embed="rId21"/>
                    <a:stretch>
                      <a:fillRect/>
                    </a:stretch>
                  </pic:blipFill>
                  <pic:spPr>
                    <a:xfrm>
                      <a:off x="0" y="0"/>
                      <a:ext cx="6172200" cy="3471862"/>
                    </a:xfrm>
                    <a:prstGeom prst="rect"/>
                  </pic:spPr>
                </pic:pic>
              </a:graphicData>
            </a:graphic>
          </wp:inline>
        </w:drawing>
      </w:r>
    </w:p>
    <w:p>
      <w:pPr>
        <w:pStyle w:val="BlueprintCaption"/>
        <w:jc w:val="center"/>
        <w:keepLines/>
      </w:pPr>
      <w:r>
        <w:rPr>
          <w:rFonts w:ascii="Arial" w:hAnsi="Arial"/>
          <w:b w:val="0"/>
        </w:rPr>
        <w:t>Figure 11. The full Blueprint preserves completed, waiting, and unresolved stages in one connected map.</w:t>
      </w:r>
    </w:p>
    <w:p>
      <w:r>
        <w:br w:type="page"/>
      </w:r>
    </w:p>
    <w:p>
      <w:pPr>
        <w:pStyle w:val="BlueprintKicker"/>
        <w:keepNext/>
      </w:pPr>
      <w:r>
        <w:rPr>
          <w:rFonts w:ascii="Arial" w:hAnsi="Arial"/>
          <w:b w:val="0"/>
        </w:rPr>
        <w:t>11 / WHY THESE TOOLS</w:t>
      </w:r>
    </w:p>
    <w:p>
      <w:pPr>
        <w:pStyle w:val="Heading1"/>
        <w:keepNext/>
      </w:pPr>
      <w:r>
        <w:t>Technology and design decisions</w:t>
      </w:r>
    </w:p>
    <w:p>
      <w:pPr>
        <w:jc w:val="center"/>
      </w:pPr>
      <w:r>
        <w:drawing>
          <wp:inline xmlns:a="http://schemas.openxmlformats.org/drawingml/2006/main" xmlns:pic="http://schemas.openxmlformats.org/drawingml/2006/picture">
            <wp:extent cx="6355080" cy="3071622"/>
            <wp:docPr id="12" name="Picture 12"/>
            <wp:cNvGraphicFramePr>
              <a:graphicFrameLocks noChangeAspect="1"/>
            </wp:cNvGraphicFramePr>
            <a:graphic>
              <a:graphicData uri="http://schemas.openxmlformats.org/drawingml/2006/picture">
                <pic:pic>
                  <pic:nvPicPr>
                    <pic:cNvPr id="0" name="10_tool_choices.png"/>
                    <pic:cNvPicPr/>
                  </pic:nvPicPr>
                  <pic:blipFill>
                    <a:blip r:embed="rId22"/>
                    <a:stretch>
                      <a:fillRect/>
                    </a:stretch>
                  </pic:blipFill>
                  <pic:spPr>
                    <a:xfrm>
                      <a:off x="0" y="0"/>
                      <a:ext cx="6355080" cy="3071622"/>
                    </a:xfrm>
                    <a:prstGeom prst="rect"/>
                  </pic:spPr>
                </pic:pic>
              </a:graphicData>
            </a:graphic>
          </wp:inline>
        </w:drawing>
      </w:r>
    </w:p>
    <w:p>
      <w:pPr>
        <w:pStyle w:val="BlueprintCaption"/>
        <w:jc w:val="center"/>
        <w:keepLines/>
      </w:pPr>
      <w:r>
        <w:rPr>
          <w:rFonts w:ascii="Arial" w:hAnsi="Arial"/>
          <w:b w:val="0"/>
        </w:rPr>
        <w:t>Figure 12. Every dependency is justified by a distinct responsibility; optional complexity is deferred.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C2A"/>
            <w:vAlign w:val="center"/>
          </w:tcPr>
          <w:p>
            <w:pPr>
              <w:spacing w:after="0"/>
            </w:pPr>
            <w:r>
              <w:rPr>
                <w:rFonts w:ascii="Arial" w:hAnsi="Arial"/>
                <w:b/>
                <w:color w:val="FFFFFF"/>
                <w:sz w:val="15"/>
              </w:rPr>
              <w:t>Decision</w:t>
            </w:r>
          </w:p>
        </w:tc>
        <w:tc>
          <w:tcPr>
            <w:tcW w:type="dxa" w:w="7416"/>
            <w:shd w:fill="173C2A"/>
            <w:vAlign w:val="center"/>
          </w:tcPr>
          <w:p>
            <w:pPr>
              <w:spacing w:after="0"/>
            </w:pPr>
            <w:r>
              <w:rPr>
                <w:rFonts w:ascii="Arial" w:hAnsi="Arial"/>
                <w:b/>
                <w:color w:val="FFFFFF"/>
                <w:sz w:val="15"/>
              </w:rPr>
              <w:t>Why it is included or excluded</w:t>
            </w:r>
          </w:p>
        </w:tc>
      </w:tr>
      <w:tr>
        <w:tc>
          <w:tcPr>
            <w:tcW w:type="dxa" w:w="2232"/>
            <w:vAlign w:val="top"/>
          </w:tcPr>
          <w:p>
            <w:pPr>
              <w:spacing w:after="20"/>
            </w:pPr>
            <w:r>
              <w:rPr>
                <w:rFonts w:ascii="Arial" w:hAnsi="Arial"/>
                <w:color w:val="172019"/>
                <w:sz w:val="15"/>
              </w:rPr>
              <w:t>n8n, not LangChain</w:t>
            </w:r>
          </w:p>
        </w:tc>
        <w:tc>
          <w:tcPr>
            <w:tcW w:type="dxa" w:w="7416"/>
            <w:vAlign w:val="top"/>
          </w:tcPr>
          <w:p>
            <w:pPr>
              <w:spacing w:after="20"/>
            </w:pPr>
            <w:r>
              <w:rPr>
                <w:rFonts w:ascii="Arial" w:hAnsi="Arial"/>
                <w:color w:val="172019"/>
                <w:sz w:val="15"/>
              </w:rPr>
              <w:t>Visible workflow orchestration, native webhooks/credentials, evaluator-readable branching, and alignment with the chosen build track.</w:t>
            </w:r>
          </w:p>
        </w:tc>
      </w:tr>
      <w:tr>
        <w:tc>
          <w:tcPr>
            <w:tcW w:type="dxa" w:w="2232"/>
            <w:shd w:fill="F6F7F5"/>
            <w:vAlign w:val="top"/>
          </w:tcPr>
          <w:p>
            <w:pPr>
              <w:spacing w:after="20"/>
            </w:pPr>
            <w:r>
              <w:rPr>
                <w:rFonts w:ascii="Arial" w:hAnsi="Arial"/>
                <w:color w:val="172019"/>
                <w:sz w:val="15"/>
              </w:rPr>
              <w:t>Nebius</w:t>
            </w:r>
          </w:p>
        </w:tc>
        <w:tc>
          <w:tcPr>
            <w:tcW w:type="dxa" w:w="7416"/>
            <w:shd w:fill="F6F7F5"/>
            <w:vAlign w:val="top"/>
          </w:tcPr>
          <w:p>
            <w:pPr>
              <w:spacing w:after="20"/>
            </w:pPr>
            <w:r>
              <w:rPr>
                <w:rFonts w:ascii="Arial" w:hAnsi="Arial"/>
                <w:color w:val="172019"/>
                <w:sz w:val="15"/>
              </w:rPr>
              <w:t>Required model provider and the primary LLM path for framing, specialists, synthesis, and critique.</w:t>
            </w:r>
          </w:p>
        </w:tc>
      </w:tr>
      <w:tr>
        <w:tc>
          <w:tcPr>
            <w:tcW w:type="dxa" w:w="2232"/>
            <w:vAlign w:val="top"/>
          </w:tcPr>
          <w:p>
            <w:pPr>
              <w:spacing w:after="20"/>
            </w:pPr>
            <w:r>
              <w:rPr>
                <w:rFonts w:ascii="Arial" w:hAnsi="Arial"/>
                <w:color w:val="172019"/>
                <w:sz w:val="15"/>
              </w:rPr>
              <w:t>Supabase</w:t>
            </w:r>
          </w:p>
        </w:tc>
        <w:tc>
          <w:tcPr>
            <w:tcW w:type="dxa" w:w="7416"/>
            <w:vAlign w:val="top"/>
          </w:tcPr>
          <w:p>
            <w:pPr>
              <w:spacing w:after="20"/>
            </w:pPr>
            <w:r>
              <w:rPr>
                <w:rFonts w:ascii="Arial" w:hAnsi="Arial"/>
                <w:color w:val="172019"/>
                <w:sz w:val="15"/>
              </w:rPr>
              <w:t>Canonical database, anonymous Auth, RLS ownership, atomic RPCs, and persistent run/version/audit state.</w:t>
            </w:r>
          </w:p>
        </w:tc>
      </w:tr>
      <w:tr>
        <w:tc>
          <w:tcPr>
            <w:tcW w:type="dxa" w:w="2232"/>
            <w:shd w:fill="F6F7F5"/>
            <w:vAlign w:val="top"/>
          </w:tcPr>
          <w:p>
            <w:pPr>
              <w:spacing w:after="20"/>
            </w:pPr>
            <w:r>
              <w:rPr>
                <w:rFonts w:ascii="Arial" w:hAnsi="Arial"/>
                <w:color w:val="172019"/>
                <w:sz w:val="15"/>
              </w:rPr>
              <w:t>You.com</w:t>
            </w:r>
          </w:p>
        </w:tc>
        <w:tc>
          <w:tcPr>
            <w:tcW w:type="dxa" w:w="7416"/>
            <w:shd w:fill="F6F7F5"/>
            <w:vAlign w:val="top"/>
          </w:tcPr>
          <w:p>
            <w:pPr>
              <w:spacing w:after="20"/>
            </w:pPr>
            <w:r>
              <w:rPr>
                <w:rFonts w:ascii="Arial" w:hAnsi="Arial"/>
                <w:color w:val="172019"/>
                <w:sz w:val="15"/>
              </w:rPr>
              <w:t>Search-grounded public-web research with query and source metadata; not the only possible source, but the V1 gateway.</w:t>
            </w:r>
          </w:p>
        </w:tc>
      </w:tr>
      <w:tr>
        <w:tc>
          <w:tcPr>
            <w:tcW w:type="dxa" w:w="2232"/>
            <w:vAlign w:val="top"/>
          </w:tcPr>
          <w:p>
            <w:pPr>
              <w:spacing w:after="20"/>
            </w:pPr>
            <w:r>
              <w:rPr>
                <w:rFonts w:ascii="Arial" w:hAnsi="Arial"/>
                <w:color w:val="172019"/>
                <w:sz w:val="15"/>
              </w:rPr>
              <w:t>Pinecone</w:t>
            </w:r>
          </w:p>
        </w:tc>
        <w:tc>
          <w:tcPr>
            <w:tcW w:type="dxa" w:w="7416"/>
            <w:vAlign w:val="top"/>
          </w:tcPr>
          <w:p>
            <w:pPr>
              <w:spacing w:after="20"/>
            </w:pPr>
            <w:r>
              <w:rPr>
                <w:rFonts w:ascii="Arial" w:hAnsi="Arial"/>
                <w:color w:val="172019"/>
                <w:sz w:val="15"/>
              </w:rPr>
              <w:t>Semantic retrieval only for auditor-accepted evidence; configured as a projection, not a second source of truth.</w:t>
            </w:r>
          </w:p>
        </w:tc>
      </w:tr>
      <w:tr>
        <w:tc>
          <w:tcPr>
            <w:tcW w:type="dxa" w:w="2232"/>
            <w:shd w:fill="F6F7F5"/>
            <w:vAlign w:val="top"/>
          </w:tcPr>
          <w:p>
            <w:pPr>
              <w:spacing w:after="20"/>
            </w:pPr>
            <w:r>
              <w:rPr>
                <w:rFonts w:ascii="Arial" w:hAnsi="Arial"/>
                <w:color w:val="172019"/>
                <w:sz w:val="15"/>
              </w:rPr>
              <w:t>Mem0</w:t>
            </w:r>
          </w:p>
        </w:tc>
        <w:tc>
          <w:tcPr>
            <w:tcW w:type="dxa" w:w="7416"/>
            <w:shd w:fill="F6F7F5"/>
            <w:vAlign w:val="top"/>
          </w:tcPr>
          <w:p>
            <w:pPr>
              <w:spacing w:after="20"/>
            </w:pPr>
            <w:r>
              <w:rPr>
                <w:rFonts w:ascii="Arial" w:hAnsi="Arial"/>
                <w:color w:val="172019"/>
                <w:sz w:val="15"/>
              </w:rPr>
              <w:t>Cross-session founder journey memory restricted to confirmed goals, constraints, decisions, corrections, and lessons.</w:t>
            </w:r>
          </w:p>
        </w:tc>
      </w:tr>
      <w:tr>
        <w:tc>
          <w:tcPr>
            <w:tcW w:type="dxa" w:w="2232"/>
            <w:vAlign w:val="top"/>
          </w:tcPr>
          <w:p>
            <w:pPr>
              <w:spacing w:after="20"/>
            </w:pPr>
            <w:r>
              <w:rPr>
                <w:rFonts w:ascii="Arial" w:hAnsi="Arial"/>
                <w:color w:val="172019"/>
                <w:sz w:val="15"/>
              </w:rPr>
              <w:t>Streamlit</w:t>
            </w:r>
          </w:p>
        </w:tc>
        <w:tc>
          <w:tcPr>
            <w:tcW w:type="dxa" w:w="7416"/>
            <w:vAlign w:val="top"/>
          </w:tcPr>
          <w:p>
            <w:pPr>
              <w:spacing w:after="20"/>
            </w:pPr>
            <w:r>
              <w:rPr>
                <w:rFonts w:ascii="Arial" w:hAnsi="Arial"/>
                <w:color w:val="172019"/>
                <w:sz w:val="15"/>
              </w:rPr>
              <w:t>Fast public web surface and the existing Blueprint UI; anonymous access removes evaluator signup friction.</w:t>
            </w:r>
          </w:p>
        </w:tc>
      </w:tr>
      <w:tr>
        <w:tc>
          <w:tcPr>
            <w:tcW w:type="dxa" w:w="2232"/>
            <w:shd w:fill="F6F7F5"/>
            <w:vAlign w:val="top"/>
          </w:tcPr>
          <w:p>
            <w:pPr>
              <w:spacing w:after="20"/>
            </w:pPr>
            <w:r>
              <w:rPr>
                <w:rFonts w:ascii="Arial" w:hAnsi="Arial"/>
                <w:color w:val="172019"/>
                <w:sz w:val="15"/>
              </w:rPr>
              <w:t>RAG</w:t>
            </w:r>
          </w:p>
        </w:tc>
        <w:tc>
          <w:tcPr>
            <w:tcW w:type="dxa" w:w="7416"/>
            <w:shd w:fill="F6F7F5"/>
            <w:vAlign w:val="top"/>
          </w:tcPr>
          <w:p>
            <w:pPr>
              <w:spacing w:after="20"/>
            </w:pPr>
            <w:r>
              <w:rPr>
                <w:rFonts w:ascii="Arial" w:hAnsi="Arial"/>
                <w:color w:val="172019"/>
                <w:sz w:val="15"/>
              </w:rPr>
              <w:t>Used narrowly in Ask This Research over accepted project evidence. Founder document-upload RAG remains V2.</w:t>
            </w:r>
          </w:p>
        </w:tc>
      </w:tr>
      <w:tr>
        <w:tc>
          <w:tcPr>
            <w:tcW w:type="dxa" w:w="2232"/>
            <w:vAlign w:val="top"/>
          </w:tcPr>
          <w:p>
            <w:pPr>
              <w:spacing w:after="20"/>
            </w:pPr>
            <w:r>
              <w:rPr>
                <w:rFonts w:ascii="Arial" w:hAnsi="Arial"/>
                <w:color w:val="172019"/>
                <w:sz w:val="15"/>
              </w:rPr>
              <w:t>LlamaIndex deferred</w:t>
            </w:r>
          </w:p>
        </w:tc>
        <w:tc>
          <w:tcPr>
            <w:tcW w:type="dxa" w:w="7416"/>
            <w:vAlign w:val="top"/>
          </w:tcPr>
          <w:p>
            <w:pPr>
              <w:spacing w:after="20"/>
            </w:pPr>
            <w:r>
              <w:rPr>
                <w:rFonts w:ascii="Arial" w:hAnsi="Arial"/>
                <w:color w:val="172019"/>
                <w:sz w:val="15"/>
              </w:rPr>
              <w:t>Useful for document parsing/deduplication/page citations after upload exists; unnecessary for the V1 web-evidence path.</w:t>
            </w:r>
          </w:p>
        </w:tc>
      </w:tr>
      <w:tr>
        <w:tc>
          <w:tcPr>
            <w:tcW w:type="dxa" w:w="2232"/>
            <w:shd w:fill="F6F7F5"/>
            <w:vAlign w:val="top"/>
          </w:tcPr>
          <w:p>
            <w:pPr>
              <w:spacing w:after="20"/>
            </w:pPr>
            <w:r>
              <w:rPr>
                <w:rFonts w:ascii="Arial" w:hAnsi="Arial"/>
                <w:color w:val="172019"/>
                <w:sz w:val="15"/>
              </w:rPr>
              <w:t>Fireworks deferred</w:t>
            </w:r>
          </w:p>
        </w:tc>
        <w:tc>
          <w:tcPr>
            <w:tcW w:type="dxa" w:w="7416"/>
            <w:shd w:fill="F6F7F5"/>
            <w:vAlign w:val="top"/>
          </w:tcPr>
          <w:p>
            <w:pPr>
              <w:spacing w:after="20"/>
            </w:pPr>
            <w:r>
              <w:rPr>
                <w:rFonts w:ascii="Arial" w:hAnsi="Arial"/>
                <w:color w:val="172019"/>
                <w:sz w:val="15"/>
              </w:rPr>
              <w:t>No demonstrated quality, latency, or cost advantage on the critical path over Nebius.</w:t>
            </w:r>
          </w:p>
        </w:tc>
      </w:tr>
      <w:tr>
        <w:tc>
          <w:tcPr>
            <w:tcW w:type="dxa" w:w="2232"/>
            <w:vAlign w:val="top"/>
          </w:tcPr>
          <w:p>
            <w:pPr>
              <w:spacing w:after="20"/>
            </w:pPr>
            <w:r>
              <w:rPr>
                <w:rFonts w:ascii="Arial" w:hAnsi="Arial"/>
                <w:color w:val="172019"/>
                <w:sz w:val="15"/>
              </w:rPr>
              <w:t>ElevenLabs/voice deferred</w:t>
            </w:r>
          </w:p>
        </w:tc>
        <w:tc>
          <w:tcPr>
            <w:tcW w:type="dxa" w:w="7416"/>
            <w:vAlign w:val="top"/>
          </w:tcPr>
          <w:p>
            <w:pPr>
              <w:spacing w:after="20"/>
            </w:pPr>
            <w:r>
              <w:rPr>
                <w:rFonts w:ascii="Arial" w:hAnsi="Arial"/>
                <w:color w:val="172019"/>
                <w:sz w:val="15"/>
              </w:rPr>
              <w:t>Voice adds demo surface without improving the core founder decision loop.</w:t>
            </w:r>
          </w:p>
        </w:tc>
      </w:tr>
      <w:tr>
        <w:tc>
          <w:tcPr>
            <w:tcW w:type="dxa" w:w="2232"/>
            <w:shd w:fill="F6F7F5"/>
            <w:vAlign w:val="top"/>
          </w:tcPr>
          <w:p>
            <w:pPr>
              <w:spacing w:after="20"/>
            </w:pPr>
            <w:r>
              <w:rPr>
                <w:rFonts w:ascii="Arial" w:hAnsi="Arial"/>
                <w:color w:val="172019"/>
                <w:sz w:val="15"/>
              </w:rPr>
              <w:t>MCP excluded</w:t>
            </w:r>
          </w:p>
        </w:tc>
        <w:tc>
          <w:tcPr>
            <w:tcW w:type="dxa" w:w="7416"/>
            <w:shd w:fill="F6F7F5"/>
            <w:vAlign w:val="top"/>
          </w:tcPr>
          <w:p>
            <w:pPr>
              <w:spacing w:after="20"/>
            </w:pPr>
            <w:r>
              <w:rPr>
                <w:rFonts w:ascii="Arial" w:hAnsi="Arial"/>
                <w:color w:val="172019"/>
                <w:sz w:val="15"/>
              </w:rPr>
              <w:t>Direct n8n HTTP/API tools already provide narrow contracts; MCP would add another tool-control layer without current payoff.</w:t>
            </w:r>
          </w:p>
        </w:tc>
      </w:tr>
      <w:tr>
        <w:tc>
          <w:tcPr>
            <w:tcW w:type="dxa" w:w="2232"/>
            <w:vAlign w:val="top"/>
          </w:tcPr>
          <w:p>
            <w:pPr>
              <w:spacing w:after="20"/>
            </w:pPr>
            <w:r>
              <w:rPr>
                <w:rFonts w:ascii="Arial" w:hAnsi="Arial"/>
                <w:color w:val="172019"/>
                <w:sz w:val="15"/>
              </w:rPr>
              <w:t>Fine-tuning excluded</w:t>
            </w:r>
          </w:p>
        </w:tc>
        <w:tc>
          <w:tcPr>
            <w:tcW w:type="dxa" w:w="7416"/>
            <w:vAlign w:val="top"/>
          </w:tcPr>
          <w:p>
            <w:pPr>
              <w:spacing w:after="20"/>
            </w:pPr>
            <w:r>
              <w:rPr>
                <w:rFonts w:ascii="Arial" w:hAnsi="Arial"/>
                <w:color w:val="172019"/>
                <w:sz w:val="15"/>
              </w:rPr>
              <w:t>No labeled domain dataset or measured prompt/model failure that justifies it.</w:t>
            </w:r>
          </w:p>
        </w:tc>
      </w:tr>
      <w:tr>
        <w:tc>
          <w:tcPr>
            <w:tcW w:type="dxa" w:w="2232"/>
            <w:shd w:fill="F6F7F5"/>
            <w:vAlign w:val="top"/>
          </w:tcPr>
          <w:p>
            <w:pPr>
              <w:spacing w:after="20"/>
            </w:pPr>
            <w:r>
              <w:rPr>
                <w:rFonts w:ascii="Arial" w:hAnsi="Arial"/>
                <w:color w:val="172019"/>
                <w:sz w:val="15"/>
              </w:rPr>
              <w:t>Peer-to-peer agents excluded</w:t>
            </w:r>
          </w:p>
        </w:tc>
        <w:tc>
          <w:tcPr>
            <w:tcW w:type="dxa" w:w="7416"/>
            <w:shd w:fill="F6F7F5"/>
            <w:vAlign w:val="top"/>
          </w:tcPr>
          <w:p>
            <w:pPr>
              <w:spacing w:after="20"/>
            </w:pPr>
            <w:r>
              <w:rPr>
                <w:rFonts w:ascii="Arial" w:hAnsi="Arial"/>
                <w:color w:val="172019"/>
                <w:sz w:val="15"/>
              </w:rPr>
              <w:t>A hierarchical Supervisor is easier to bound, observe, and recover than arbitrary agent conversation.</w:t>
            </w:r>
          </w:p>
        </w:tc>
      </w:tr>
    </w:tbl>
    <w:p>
      <w:pPr>
        <w:spacing w:after="0"/>
      </w:pPr>
    </w:p>
    <w:p>
      <w:r>
        <w:br w:type="page"/>
      </w:r>
    </w:p>
    <w:p>
      <w:pPr>
        <w:pStyle w:val="BlueprintKicker"/>
        <w:keepNext/>
      </w:pPr>
      <w:r>
        <w:rPr>
          <w:rFonts w:ascii="Arial" w:hAnsi="Arial"/>
          <w:b w:val="0"/>
        </w:rPr>
        <w:t>12 / SOURCE GOVERNANCE</w:t>
      </w:r>
    </w:p>
    <w:p>
      <w:pPr>
        <w:pStyle w:val="Heading1"/>
        <w:keepNext/>
      </w:pPr>
      <w:r>
        <w:t>Data, privacy, and permissions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shd w:fill="173C2A"/>
            <w:vAlign w:val="center"/>
          </w:tcPr>
          <w:p>
            <w:pPr>
              <w:spacing w:after="0"/>
            </w:pPr>
            <w:r>
              <w:rPr>
                <w:rFonts w:ascii="Arial" w:hAnsi="Arial"/>
                <w:b/>
                <w:color w:val="FFFFFF"/>
                <w:sz w:val="14"/>
              </w:rPr>
              <w:t>Data / resource</w:t>
            </w:r>
          </w:p>
        </w:tc>
        <w:tc>
          <w:tcPr>
            <w:tcW w:type="dxa" w:w="2448"/>
            <w:shd w:fill="173C2A"/>
            <w:vAlign w:val="center"/>
          </w:tcPr>
          <w:p>
            <w:pPr>
              <w:spacing w:after="0"/>
            </w:pPr>
            <w:r>
              <w:rPr>
                <w:rFonts w:ascii="Arial" w:hAnsi="Arial"/>
                <w:b/>
                <w:color w:val="FFFFFF"/>
                <w:sz w:val="14"/>
              </w:rPr>
              <w:t>Purpose</w:t>
            </w:r>
          </w:p>
        </w:tc>
        <w:tc>
          <w:tcPr>
            <w:tcW w:type="dxa" w:w="2376"/>
            <w:shd w:fill="173C2A"/>
            <w:vAlign w:val="center"/>
          </w:tcPr>
          <w:p>
            <w:pPr>
              <w:spacing w:after="0"/>
            </w:pPr>
            <w:r>
              <w:rPr>
                <w:rFonts w:ascii="Arial" w:hAnsi="Arial"/>
                <w:b/>
                <w:color w:val="FFFFFF"/>
                <w:sz w:val="14"/>
              </w:rPr>
              <w:t>Retention / ownership</w:t>
            </w:r>
          </w:p>
        </w:tc>
        <w:tc>
          <w:tcPr>
            <w:tcW w:type="dxa" w:w="2952"/>
            <w:shd w:fill="173C2A"/>
            <w:vAlign w:val="center"/>
          </w:tcPr>
          <w:p>
            <w:pPr>
              <w:spacing w:after="0"/>
            </w:pPr>
            <w:r>
              <w:rPr>
                <w:rFonts w:ascii="Arial" w:hAnsi="Arial"/>
                <w:b/>
                <w:color w:val="FFFFFF"/>
                <w:sz w:val="14"/>
              </w:rPr>
              <w:t>Controls</w:t>
            </w:r>
          </w:p>
        </w:tc>
      </w:tr>
      <w:tr>
        <w:tc>
          <w:tcPr>
            <w:tcW w:type="dxa" w:w="1872"/>
            <w:vAlign w:val="top"/>
          </w:tcPr>
          <w:p>
            <w:pPr>
              <w:spacing w:after="20"/>
            </w:pPr>
            <w:r>
              <w:rPr>
                <w:rFonts w:ascii="Arial" w:hAnsi="Arial"/>
                <w:color w:val="172019"/>
                <w:sz w:val="14"/>
              </w:rPr>
              <w:t>Founder idea and onboarding</w:t>
            </w:r>
          </w:p>
        </w:tc>
        <w:tc>
          <w:tcPr>
            <w:tcW w:type="dxa" w:w="2448"/>
            <w:vAlign w:val="top"/>
          </w:tcPr>
          <w:p>
            <w:pPr>
              <w:spacing w:after="20"/>
            </w:pPr>
            <w:r>
              <w:rPr>
                <w:rFonts w:ascii="Arial" w:hAnsi="Arial"/>
                <w:color w:val="172019"/>
                <w:sz w:val="14"/>
              </w:rPr>
              <w:t>Profile, goal, constraints, research scope</w:t>
            </w:r>
          </w:p>
        </w:tc>
        <w:tc>
          <w:tcPr>
            <w:tcW w:type="dxa" w:w="2376"/>
            <w:vAlign w:val="top"/>
          </w:tcPr>
          <w:p>
            <w:pPr>
              <w:spacing w:after="20"/>
            </w:pPr>
            <w:r>
              <w:rPr>
                <w:rFonts w:ascii="Arial" w:hAnsi="Arial"/>
                <w:color w:val="172019"/>
                <w:sz w:val="14"/>
              </w:rPr>
              <w:t>Persistent per owner/project</w:t>
            </w:r>
          </w:p>
        </w:tc>
        <w:tc>
          <w:tcPr>
            <w:tcW w:type="dxa" w:w="2952"/>
            <w:vAlign w:val="top"/>
          </w:tcPr>
          <w:p>
            <w:pPr>
              <w:spacing w:after="20"/>
            </w:pPr>
            <w:r>
              <w:rPr>
                <w:rFonts w:ascii="Arial" w:hAnsi="Arial"/>
                <w:color w:val="172019"/>
                <w:sz w:val="14"/>
              </w:rPr>
              <w:t>Anonymous JWT + Supabase RLS</w:t>
            </w:r>
          </w:p>
        </w:tc>
      </w:tr>
      <w:tr>
        <w:tc>
          <w:tcPr>
            <w:tcW w:type="dxa" w:w="1872"/>
            <w:shd w:fill="F6F7F5"/>
            <w:vAlign w:val="top"/>
          </w:tcPr>
          <w:p>
            <w:pPr>
              <w:spacing w:after="20"/>
            </w:pPr>
            <w:r>
              <w:rPr>
                <w:rFonts w:ascii="Arial" w:hAnsi="Arial"/>
                <w:color w:val="172019"/>
                <w:sz w:val="14"/>
              </w:rPr>
              <w:t>Public web evidence</w:t>
            </w:r>
          </w:p>
        </w:tc>
        <w:tc>
          <w:tcPr>
            <w:tcW w:type="dxa" w:w="2448"/>
            <w:shd w:fill="F6F7F5"/>
            <w:vAlign w:val="top"/>
          </w:tcPr>
          <w:p>
            <w:pPr>
              <w:spacing w:after="20"/>
            </w:pPr>
            <w:r>
              <w:rPr>
                <w:rFonts w:ascii="Arial" w:hAnsi="Arial"/>
                <w:color w:val="172019"/>
                <w:sz w:val="14"/>
              </w:rPr>
              <w:t>Customer, competitor, market research</w:t>
            </w:r>
          </w:p>
        </w:tc>
        <w:tc>
          <w:tcPr>
            <w:tcW w:type="dxa" w:w="2376"/>
            <w:shd w:fill="F6F7F5"/>
            <w:vAlign w:val="top"/>
          </w:tcPr>
          <w:p>
            <w:pPr>
              <w:spacing w:after="20"/>
            </w:pPr>
            <w:r>
              <w:rPr>
                <w:rFonts w:ascii="Arial" w:hAnsi="Arial"/>
                <w:color w:val="172019"/>
                <w:sz w:val="14"/>
              </w:rPr>
              <w:t>Evidence record + provenance</w:t>
            </w:r>
          </w:p>
        </w:tc>
        <w:tc>
          <w:tcPr>
            <w:tcW w:type="dxa" w:w="2952"/>
            <w:shd w:fill="F6F7F5"/>
            <w:vAlign w:val="top"/>
          </w:tcPr>
          <w:p>
            <w:pPr>
              <w:spacing w:after="20"/>
            </w:pPr>
            <w:r>
              <w:rPr>
                <w:rFonts w:ascii="Arial" w:hAnsi="Arial"/>
                <w:color w:val="172019"/>
                <w:sz w:val="14"/>
              </w:rPr>
              <w:t>Read-only; audit before use</w:t>
            </w:r>
          </w:p>
        </w:tc>
      </w:tr>
      <w:tr>
        <w:tc>
          <w:tcPr>
            <w:tcW w:type="dxa" w:w="1872"/>
            <w:vAlign w:val="top"/>
          </w:tcPr>
          <w:p>
            <w:pPr>
              <w:spacing w:after="20"/>
            </w:pPr>
            <w:r>
              <w:rPr>
                <w:rFonts w:ascii="Arial" w:hAnsi="Arial"/>
                <w:color w:val="172019"/>
                <w:sz w:val="14"/>
              </w:rPr>
              <w:t>Supabase run state</w:t>
            </w:r>
          </w:p>
        </w:tc>
        <w:tc>
          <w:tcPr>
            <w:tcW w:type="dxa" w:w="2448"/>
            <w:vAlign w:val="top"/>
          </w:tcPr>
          <w:p>
            <w:pPr>
              <w:spacing w:after="20"/>
            </w:pPr>
            <w:r>
              <w:rPr>
                <w:rFonts w:ascii="Arial" w:hAnsi="Arial"/>
                <w:color w:val="172019"/>
                <w:sz w:val="14"/>
              </w:rPr>
              <w:t>Plans, tasks, outputs, versions, errors, approvals</w:t>
            </w:r>
          </w:p>
        </w:tc>
        <w:tc>
          <w:tcPr>
            <w:tcW w:type="dxa" w:w="2376"/>
            <w:vAlign w:val="top"/>
          </w:tcPr>
          <w:p>
            <w:pPr>
              <w:spacing w:after="20"/>
            </w:pPr>
            <w:r>
              <w:rPr>
                <w:rFonts w:ascii="Arial" w:hAnsi="Arial"/>
                <w:color w:val="172019"/>
                <w:sz w:val="14"/>
              </w:rPr>
              <w:t>Canonical persistent store</w:t>
            </w:r>
          </w:p>
        </w:tc>
        <w:tc>
          <w:tcPr>
            <w:tcW w:type="dxa" w:w="2952"/>
            <w:vAlign w:val="top"/>
          </w:tcPr>
          <w:p>
            <w:pPr>
              <w:spacing w:after="20"/>
            </w:pPr>
            <w:r>
              <w:rPr>
                <w:rFonts w:ascii="Arial" w:hAnsi="Arial"/>
                <w:color w:val="172019"/>
                <w:sz w:val="14"/>
              </w:rPr>
              <w:t>Owner-scoped RPCs, idempotency, composite FKs</w:t>
            </w:r>
          </w:p>
        </w:tc>
      </w:tr>
      <w:tr>
        <w:tc>
          <w:tcPr>
            <w:tcW w:type="dxa" w:w="1872"/>
            <w:shd w:fill="F6F7F5"/>
            <w:vAlign w:val="top"/>
          </w:tcPr>
          <w:p>
            <w:pPr>
              <w:spacing w:after="20"/>
            </w:pPr>
            <w:r>
              <w:rPr>
                <w:rFonts w:ascii="Arial" w:hAnsi="Arial"/>
                <w:color w:val="172019"/>
                <w:sz w:val="14"/>
              </w:rPr>
              <w:t>Pinecone vectors</w:t>
            </w:r>
          </w:p>
        </w:tc>
        <w:tc>
          <w:tcPr>
            <w:tcW w:type="dxa" w:w="2448"/>
            <w:shd w:fill="F6F7F5"/>
            <w:vAlign w:val="top"/>
          </w:tcPr>
          <w:p>
            <w:pPr>
              <w:spacing w:after="20"/>
            </w:pPr>
            <w:r>
              <w:rPr>
                <w:rFonts w:ascii="Arial" w:hAnsi="Arial"/>
                <w:color w:val="172019"/>
                <w:sz w:val="14"/>
              </w:rPr>
              <w:t>Semantic retrieval of accepted evidence</w:t>
            </w:r>
          </w:p>
        </w:tc>
        <w:tc>
          <w:tcPr>
            <w:tcW w:type="dxa" w:w="2376"/>
            <w:shd w:fill="F6F7F5"/>
            <w:vAlign w:val="top"/>
          </w:tcPr>
          <w:p>
            <w:pPr>
              <w:spacing w:after="20"/>
            </w:pPr>
            <w:r>
              <w:rPr>
                <w:rFonts w:ascii="Arial" w:hAnsi="Arial"/>
                <w:color w:val="172019"/>
                <w:sz w:val="14"/>
              </w:rPr>
              <w:t>Project/owner projection</w:t>
            </w:r>
          </w:p>
        </w:tc>
        <w:tc>
          <w:tcPr>
            <w:tcW w:type="dxa" w:w="2952"/>
            <w:shd w:fill="F6F7F5"/>
            <w:vAlign w:val="top"/>
          </w:tcPr>
          <w:p>
            <w:pPr>
              <w:spacing w:after="20"/>
            </w:pPr>
            <w:r>
              <w:rPr>
                <w:rFonts w:ascii="Arial" w:hAnsi="Arial"/>
                <w:color w:val="172019"/>
                <w:sz w:val="14"/>
              </w:rPr>
              <w:t>Canonical Supabase revalidation; scoped delete</w:t>
            </w:r>
          </w:p>
        </w:tc>
      </w:tr>
      <w:tr>
        <w:tc>
          <w:tcPr>
            <w:tcW w:type="dxa" w:w="1872"/>
            <w:vAlign w:val="top"/>
          </w:tcPr>
          <w:p>
            <w:pPr>
              <w:spacing w:after="20"/>
            </w:pPr>
            <w:r>
              <w:rPr>
                <w:rFonts w:ascii="Arial" w:hAnsi="Arial"/>
                <w:color w:val="172019"/>
                <w:sz w:val="14"/>
              </w:rPr>
              <w:t>Mem0 memory</w:t>
            </w:r>
          </w:p>
        </w:tc>
        <w:tc>
          <w:tcPr>
            <w:tcW w:type="dxa" w:w="2448"/>
            <w:vAlign w:val="top"/>
          </w:tcPr>
          <w:p>
            <w:pPr>
              <w:spacing w:after="20"/>
            </w:pPr>
            <w:r>
              <w:rPr>
                <w:rFonts w:ascii="Arial" w:hAnsi="Arial"/>
                <w:color w:val="172019"/>
                <w:sz w:val="14"/>
              </w:rPr>
              <w:t>Confirmed founder journey across sessions</w:t>
            </w:r>
          </w:p>
        </w:tc>
        <w:tc>
          <w:tcPr>
            <w:tcW w:type="dxa" w:w="2376"/>
            <w:vAlign w:val="top"/>
          </w:tcPr>
          <w:p>
            <w:pPr>
              <w:spacing w:after="20"/>
            </w:pPr>
            <w:r>
              <w:rPr>
                <w:rFonts w:ascii="Arial" w:hAnsi="Arial"/>
                <w:color w:val="172019"/>
                <w:sz w:val="14"/>
              </w:rPr>
              <w:t>User/project scoped</w:t>
            </w:r>
          </w:p>
        </w:tc>
        <w:tc>
          <w:tcPr>
            <w:tcW w:type="dxa" w:w="2952"/>
            <w:vAlign w:val="top"/>
          </w:tcPr>
          <w:p>
            <w:pPr>
              <w:spacing w:after="20"/>
            </w:pPr>
            <w:r>
              <w:rPr>
                <w:rFonts w:ascii="Arial" w:hAnsi="Arial"/>
                <w:color w:val="172019"/>
                <w:sz w:val="14"/>
              </w:rPr>
              <w:t>Allowlist; no raw transcripts or guesses</w:t>
            </w:r>
          </w:p>
        </w:tc>
      </w:tr>
      <w:tr>
        <w:tc>
          <w:tcPr>
            <w:tcW w:type="dxa" w:w="1872"/>
            <w:shd w:fill="F6F7F5"/>
            <w:vAlign w:val="top"/>
          </w:tcPr>
          <w:p>
            <w:pPr>
              <w:spacing w:after="20"/>
            </w:pPr>
            <w:r>
              <w:rPr>
                <w:rFonts w:ascii="Arial" w:hAnsi="Arial"/>
                <w:color w:val="172019"/>
                <w:sz w:val="14"/>
              </w:rPr>
              <w:t>Chat history</w:t>
            </w:r>
          </w:p>
        </w:tc>
        <w:tc>
          <w:tcPr>
            <w:tcW w:type="dxa" w:w="2448"/>
            <w:shd w:fill="F6F7F5"/>
            <w:vAlign w:val="top"/>
          </w:tcPr>
          <w:p>
            <w:pPr>
              <w:spacing w:after="20"/>
            </w:pPr>
            <w:r>
              <w:rPr>
                <w:rFonts w:ascii="Arial" w:hAnsi="Arial"/>
                <w:color w:val="172019"/>
                <w:sz w:val="14"/>
              </w:rPr>
              <w:t>Section-scoped research explanation</w:t>
            </w:r>
          </w:p>
        </w:tc>
        <w:tc>
          <w:tcPr>
            <w:tcW w:type="dxa" w:w="2376"/>
            <w:shd w:fill="F6F7F5"/>
            <w:vAlign w:val="top"/>
          </w:tcPr>
          <w:p>
            <w:pPr>
              <w:spacing w:after="20"/>
            </w:pPr>
            <w:r>
              <w:rPr>
                <w:rFonts w:ascii="Arial" w:hAnsi="Arial"/>
                <w:color w:val="172019"/>
                <w:sz w:val="14"/>
              </w:rPr>
              <w:t>Project/section scoped</w:t>
            </w:r>
          </w:p>
        </w:tc>
        <w:tc>
          <w:tcPr>
            <w:tcW w:type="dxa" w:w="2952"/>
            <w:shd w:fill="F6F7F5"/>
            <w:vAlign w:val="top"/>
          </w:tcPr>
          <w:p>
            <w:pPr>
              <w:spacing w:after="20"/>
            </w:pPr>
            <w:r>
              <w:rPr>
                <w:rFonts w:ascii="Arial" w:hAnsi="Arial"/>
                <w:color w:val="172019"/>
                <w:sz w:val="14"/>
              </w:rPr>
              <w:t>Grounding state + source trace</w:t>
            </w:r>
          </w:p>
        </w:tc>
      </w:tr>
      <w:tr>
        <w:tc>
          <w:tcPr>
            <w:tcW w:type="dxa" w:w="1872"/>
            <w:vAlign w:val="top"/>
          </w:tcPr>
          <w:p>
            <w:pPr>
              <w:spacing w:after="20"/>
            </w:pPr>
            <w:r>
              <w:rPr>
                <w:rFonts w:ascii="Arial" w:hAnsi="Arial"/>
                <w:color w:val="172019"/>
                <w:sz w:val="14"/>
              </w:rPr>
              <w:t>Workflow telemetry</w:t>
            </w:r>
          </w:p>
        </w:tc>
        <w:tc>
          <w:tcPr>
            <w:tcW w:type="dxa" w:w="2448"/>
            <w:vAlign w:val="top"/>
          </w:tcPr>
          <w:p>
            <w:pPr>
              <w:spacing w:after="20"/>
            </w:pPr>
            <w:r>
              <w:rPr>
                <w:rFonts w:ascii="Arial" w:hAnsi="Arial"/>
                <w:color w:val="172019"/>
                <w:sz w:val="14"/>
              </w:rPr>
              <w:t>Routes, retries, timings, failures</w:t>
            </w:r>
          </w:p>
        </w:tc>
        <w:tc>
          <w:tcPr>
            <w:tcW w:type="dxa" w:w="2376"/>
            <w:vAlign w:val="top"/>
          </w:tcPr>
          <w:p>
            <w:pPr>
              <w:spacing w:after="20"/>
            </w:pPr>
            <w:r>
              <w:rPr>
                <w:rFonts w:ascii="Arial" w:hAnsi="Arial"/>
                <w:color w:val="172019"/>
                <w:sz w:val="14"/>
              </w:rPr>
              <w:t>Sanitized audit trail</w:t>
            </w:r>
          </w:p>
        </w:tc>
        <w:tc>
          <w:tcPr>
            <w:tcW w:type="dxa" w:w="2952"/>
            <w:vAlign w:val="top"/>
          </w:tcPr>
          <w:p>
            <w:pPr>
              <w:spacing w:after="20"/>
            </w:pPr>
            <w:r>
              <w:rPr>
                <w:rFonts w:ascii="Arial" w:hAnsi="Arial"/>
                <w:color w:val="172019"/>
                <w:sz w:val="14"/>
              </w:rPr>
              <w:t>Secret redaction; no chain-of-thought</w:t>
            </w:r>
          </w:p>
        </w:tc>
      </w:tr>
    </w:tbl>
    <w:p>
      <w:pPr>
        <w:spacing w:after="0"/>
      </w:pPr>
    </w:p>
    <w:p>
      <w:pPr>
        <w:pStyle w:val="Heading2"/>
        <w:keepNext/>
      </w:pPr>
      <w:r>
        <w:t>Read versus write authority</w:t>
      </w:r>
    </w:p>
    <w:p>
      <w:r>
        <w:rPr>
          <w:rFonts w:ascii="Arial" w:hAnsi="Arial"/>
          <w:b w:val="0"/>
        </w:rPr>
        <w:t>Blueprint autonomously reads public research and its own owner-scoped state. Writes are limited to internal project records such as evidence, tasks, checkpoints, memory projections, and Blueprint versions. Any future action that sends, posts, pays, books, publishes, changes an external record, or deletes material data must default to preview plus explicit human approval; V1 simply denies these asks.</w:t>
      </w:r>
    </w:p>
    <w:p>
      <w:pPr>
        <w:pStyle w:val="Heading2"/>
        <w:keepNext/>
      </w:pPr>
      <w:r>
        <w:t>Privacy boundary</w:t>
      </w:r>
    </w:p>
    <w:p>
      <w:pPr>
        <w:pStyle w:val="ListBullet"/>
        <w:spacing w:after="60"/>
        <w:ind w:left="288" w:hanging="173"/>
      </w:pPr>
      <w:r>
        <w:rPr>
          <w:rFonts w:ascii="Arial" w:hAnsi="Arial"/>
          <w:sz w:val="18"/>
        </w:rPr>
        <w:t>No public anonymous database access: the UI silently obtains a real anonymous Supabase JWT.</w:t>
      </w:r>
    </w:p>
    <w:p>
      <w:pPr>
        <w:pStyle w:val="ListBullet"/>
        <w:spacing w:after="60"/>
        <w:ind w:left="288" w:hanging="173"/>
      </w:pPr>
      <w:r>
        <w:rPr>
          <w:rFonts w:ascii="Arial" w:hAnsi="Arial"/>
          <w:sz w:val="18"/>
        </w:rPr>
        <w:t>Every project, run, task, checkpoint, chat, evidence record, and version is owner-scoped.</w:t>
      </w:r>
    </w:p>
    <w:p>
      <w:pPr>
        <w:pStyle w:val="ListBullet"/>
        <w:spacing w:after="60"/>
        <w:ind w:left="288" w:hanging="173"/>
      </w:pPr>
      <w:r>
        <w:rPr>
          <w:rFonts w:ascii="Arial" w:hAnsi="Arial"/>
          <w:sz w:val="18"/>
        </w:rPr>
        <w:t>Pinecone and Mem0 are projections and are revalidated against canonical state before use.</w:t>
      </w:r>
    </w:p>
    <w:p>
      <w:pPr>
        <w:pStyle w:val="ListBullet"/>
        <w:spacing w:after="60"/>
        <w:ind w:left="288" w:hanging="173"/>
      </w:pPr>
      <w:r>
        <w:rPr>
          <w:rFonts w:ascii="Arial" w:hAnsi="Arial"/>
          <w:sz w:val="18"/>
        </w:rPr>
        <w:t>Credentials remain in n8n credentials or deployment secrets and are excluded from workflow prompts and repository exports.</w:t>
      </w:r>
    </w:p>
    <w:p>
      <w:pPr>
        <w:pStyle w:val="ListBullet"/>
        <w:spacing w:after="60"/>
        <w:ind w:left="288" w:hanging="173"/>
      </w:pPr>
      <w:r>
        <w:rPr>
          <w:rFonts w:ascii="Arial" w:hAnsi="Arial"/>
          <w:sz w:val="18"/>
        </w:rPr>
        <w:t>Raw chain-of-thought is never stored or displayed; only decisions, evidence, structured observations, and concise rationales are retained.</w:t>
      </w:r>
    </w:p>
    <w:p>
      <w:r>
        <w:br w:type="page"/>
      </w:r>
    </w:p>
    <w:p>
      <w:pPr>
        <w:pStyle w:val="BlueprintKicker"/>
        <w:keepNext/>
      </w:pPr>
      <w:r>
        <w:rPr>
          <w:rFonts w:ascii="Arial" w:hAnsi="Arial"/>
          <w:b w:val="0"/>
        </w:rPr>
        <w:t>13 / PROVE THE SYSTEM</w:t>
      </w:r>
    </w:p>
    <w:p>
      <w:pPr>
        <w:pStyle w:val="Heading1"/>
        <w:keepNext/>
      </w:pPr>
      <w:r>
        <w:t>Evaluation and evidence of quality</w:t>
      </w:r>
    </w:p>
    <w:p>
      <w:pPr>
        <w:jc w:val="center"/>
      </w:pPr>
      <w:r>
        <w:drawing>
          <wp:inline xmlns:a="http://schemas.openxmlformats.org/drawingml/2006/main" xmlns:pic="http://schemas.openxmlformats.org/drawingml/2006/picture">
            <wp:extent cx="6355080" cy="3177540"/>
            <wp:docPr id="13" name="Picture 13"/>
            <wp:cNvGraphicFramePr>
              <a:graphicFrameLocks noChangeAspect="1"/>
            </wp:cNvGraphicFramePr>
            <a:graphic>
              <a:graphicData uri="http://schemas.openxmlformats.org/drawingml/2006/picture">
                <pic:pic>
                  <pic:nvPicPr>
                    <pic:cNvPr id="0" name="09_evaluation.png"/>
                    <pic:cNvPicPr/>
                  </pic:nvPicPr>
                  <pic:blipFill>
                    <a:blip r:embed="rId23"/>
                    <a:stretch>
                      <a:fillRect/>
                    </a:stretch>
                  </pic:blipFill>
                  <pic:spPr>
                    <a:xfrm>
                      <a:off x="0" y="0"/>
                      <a:ext cx="6355080" cy="3177540"/>
                    </a:xfrm>
                    <a:prstGeom prst="rect"/>
                  </pic:spPr>
                </pic:pic>
              </a:graphicData>
            </a:graphic>
          </wp:inline>
        </w:drawing>
      </w:r>
    </w:p>
    <w:p>
      <w:pPr>
        <w:pStyle w:val="BlueprintCaption"/>
        <w:jc w:val="center"/>
        <w:keepLines/>
      </w:pPr>
      <w:r>
        <w:rPr>
          <w:rFonts w:ascii="Arial" w:hAnsi="Arial"/>
          <w:b w:val="0"/>
        </w:rPr>
        <w:t>Figure 13. The current automated suite covers 79 state, routing, safety, memory, rerun, and completion contracts.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73C2A"/>
            <w:vAlign w:val="center"/>
          </w:tcPr>
          <w:p>
            <w:pPr>
              <w:spacing w:after="0"/>
            </w:pPr>
            <w:r>
              <w:rPr>
                <w:rFonts w:ascii="Arial" w:hAnsi="Arial"/>
                <w:b/>
                <w:color w:val="FFFFFF"/>
                <w:sz w:val="15"/>
              </w:rPr>
              <w:t>Evaluation layer</w:t>
            </w:r>
          </w:p>
        </w:tc>
        <w:tc>
          <w:tcPr>
            <w:tcW w:type="dxa" w:w="5328"/>
            <w:shd w:fill="173C2A"/>
            <w:vAlign w:val="center"/>
          </w:tcPr>
          <w:p>
            <w:pPr>
              <w:spacing w:after="0"/>
            </w:pPr>
            <w:r>
              <w:rPr>
                <w:rFonts w:ascii="Arial" w:hAnsi="Arial"/>
                <w:b/>
                <w:color w:val="FFFFFF"/>
                <w:sz w:val="15"/>
              </w:rPr>
              <w:t>Coverage</w:t>
            </w:r>
          </w:p>
        </w:tc>
        <w:tc>
          <w:tcPr>
            <w:tcW w:type="dxa" w:w="2016"/>
            <w:shd w:fill="173C2A"/>
            <w:vAlign w:val="center"/>
          </w:tcPr>
          <w:p>
            <w:pPr>
              <w:spacing w:after="0"/>
            </w:pPr>
            <w:r>
              <w:rPr>
                <w:rFonts w:ascii="Arial" w:hAnsi="Arial"/>
                <w:b/>
                <w:color w:val="FFFFFF"/>
                <w:sz w:val="15"/>
              </w:rPr>
              <w:t>Current result</w:t>
            </w:r>
          </w:p>
        </w:tc>
      </w:tr>
      <w:tr>
        <w:tc>
          <w:tcPr>
            <w:tcW w:type="dxa" w:w="2304"/>
            <w:vAlign w:val="top"/>
          </w:tcPr>
          <w:p>
            <w:pPr>
              <w:spacing w:after="20"/>
            </w:pPr>
            <w:r>
              <w:rPr>
                <w:rFonts w:ascii="Arial" w:hAnsi="Arial"/>
                <w:color w:val="172019"/>
                <w:sz w:val="15"/>
              </w:rPr>
              <w:t>Python UI/auth contracts</w:t>
            </w:r>
          </w:p>
        </w:tc>
        <w:tc>
          <w:tcPr>
            <w:tcW w:type="dxa" w:w="5328"/>
            <w:vAlign w:val="top"/>
          </w:tcPr>
          <w:p>
            <w:pPr>
              <w:spacing w:after="20"/>
            </w:pPr>
            <w:r>
              <w:rPr>
                <w:rFonts w:ascii="Arial" w:hAnsi="Arial"/>
                <w:color w:val="172019"/>
                <w:sz w:val="15"/>
              </w:rPr>
              <w:t>Anonymous owner session, JWT boundaries, research selection, rerun/checkpoint contracts, grounded chat fallback</w:t>
            </w:r>
          </w:p>
        </w:tc>
        <w:tc>
          <w:tcPr>
            <w:tcW w:type="dxa" w:w="2016"/>
            <w:vAlign w:val="top"/>
          </w:tcPr>
          <w:p>
            <w:pPr>
              <w:spacing w:after="20"/>
            </w:pPr>
            <w:r>
              <w:rPr>
                <w:rFonts w:ascii="Arial" w:hAnsi="Arial"/>
                <w:color w:val="172019"/>
                <w:sz w:val="15"/>
              </w:rPr>
              <w:t>14/14 passing</w:t>
            </w:r>
          </w:p>
        </w:tc>
      </w:tr>
      <w:tr>
        <w:tc>
          <w:tcPr>
            <w:tcW w:type="dxa" w:w="2304"/>
            <w:shd w:fill="F6F7F5"/>
            <w:vAlign w:val="top"/>
          </w:tcPr>
          <w:p>
            <w:pPr>
              <w:spacing w:after="20"/>
            </w:pPr>
            <w:r>
              <w:rPr>
                <w:rFonts w:ascii="Arial" w:hAnsi="Arial"/>
                <w:color w:val="172019"/>
                <w:sz w:val="15"/>
              </w:rPr>
              <w:t>Phase 6 evaluator</w:t>
            </w:r>
          </w:p>
        </w:tc>
        <w:tc>
          <w:tcPr>
            <w:tcW w:type="dxa" w:w="5328"/>
            <w:shd w:fill="F6F7F5"/>
            <w:vAlign w:val="top"/>
          </w:tcPr>
          <w:p>
            <w:pPr>
              <w:spacing w:after="20"/>
            </w:pPr>
            <w:r>
              <w:rPr>
                <w:rFonts w:ascii="Arial" w:hAnsi="Arial"/>
                <w:color w:val="172019"/>
                <w:sz w:val="15"/>
              </w:rPr>
              <w:t>Scope, routing, security, state, HITL, grounding, budget, completion, rerun, memory, failure</w:t>
            </w:r>
          </w:p>
        </w:tc>
        <w:tc>
          <w:tcPr>
            <w:tcW w:type="dxa" w:w="2016"/>
            <w:shd w:fill="F6F7F5"/>
            <w:vAlign w:val="top"/>
          </w:tcPr>
          <w:p>
            <w:pPr>
              <w:spacing w:after="20"/>
            </w:pPr>
            <w:r>
              <w:rPr>
                <w:rFonts w:ascii="Arial" w:hAnsi="Arial"/>
                <w:color w:val="172019"/>
                <w:sz w:val="15"/>
              </w:rPr>
              <w:t>79/79 passing</w:t>
            </w:r>
          </w:p>
        </w:tc>
      </w:tr>
      <w:tr>
        <w:tc>
          <w:tcPr>
            <w:tcW w:type="dxa" w:w="2304"/>
            <w:vAlign w:val="top"/>
          </w:tcPr>
          <w:p>
            <w:pPr>
              <w:spacing w:after="20"/>
            </w:pPr>
            <w:r>
              <w:rPr>
                <w:rFonts w:ascii="Arial" w:hAnsi="Arial"/>
                <w:color w:val="172019"/>
                <w:sz w:val="15"/>
              </w:rPr>
              <w:t>Dynamic planner</w:t>
            </w:r>
          </w:p>
        </w:tc>
        <w:tc>
          <w:tcPr>
            <w:tcW w:type="dxa" w:w="5328"/>
            <w:vAlign w:val="top"/>
          </w:tcPr>
          <w:p>
            <w:pPr>
              <w:spacing w:after="20"/>
            </w:pPr>
            <w:r>
              <w:rPr>
                <w:rFonts w:ascii="Arial" w:hAnsi="Arial"/>
                <w:color w:val="172019"/>
                <w:sz w:val="15"/>
              </w:rPr>
              <w:t>Idea-only, missing gate, research replan, pause precedence, goal-specific Stage 2, missing Gate 2, pre-traction growth</w:t>
            </w:r>
          </w:p>
        </w:tc>
        <w:tc>
          <w:tcPr>
            <w:tcW w:type="dxa" w:w="2016"/>
            <w:vAlign w:val="top"/>
          </w:tcPr>
          <w:p>
            <w:pPr>
              <w:spacing w:after="20"/>
            </w:pPr>
            <w:r>
              <w:rPr>
                <w:rFonts w:ascii="Arial" w:hAnsi="Arial"/>
                <w:color w:val="172019"/>
                <w:sz w:val="15"/>
              </w:rPr>
              <w:t>7/7 branches passing</w:t>
            </w:r>
          </w:p>
        </w:tc>
      </w:tr>
      <w:tr>
        <w:tc>
          <w:tcPr>
            <w:tcW w:type="dxa" w:w="2304"/>
            <w:shd w:fill="F6F7F5"/>
            <w:vAlign w:val="top"/>
          </w:tcPr>
          <w:p>
            <w:pPr>
              <w:spacing w:after="20"/>
            </w:pPr>
            <w:r>
              <w:rPr>
                <w:rFonts w:ascii="Arial" w:hAnsi="Arial"/>
                <w:color w:val="172019"/>
                <w:sz w:val="15"/>
              </w:rPr>
              <w:t>Live workflow evidence</w:t>
            </w:r>
          </w:p>
        </w:tc>
        <w:tc>
          <w:tcPr>
            <w:tcW w:type="dxa" w:w="5328"/>
            <w:shd w:fill="F6F7F5"/>
            <w:vAlign w:val="top"/>
          </w:tcPr>
          <w:p>
            <w:pPr>
              <w:spacing w:after="20"/>
            </w:pPr>
            <w:r>
              <w:rPr>
                <w:rFonts w:ascii="Arial" w:hAnsi="Arial"/>
                <w:color w:val="172019"/>
                <w:sz w:val="15"/>
              </w:rPr>
              <w:t>Stage 1 fan-out, audit, verdict, synthesis, safe quality failure, provider and memory projections</w:t>
            </w:r>
          </w:p>
        </w:tc>
        <w:tc>
          <w:tcPr>
            <w:tcW w:type="dxa" w:w="2016"/>
            <w:shd w:fill="F6F7F5"/>
            <w:vAlign w:val="top"/>
          </w:tcPr>
          <w:p>
            <w:pPr>
              <w:spacing w:after="20"/>
            </w:pPr>
            <w:r>
              <w:rPr>
                <w:rFonts w:ascii="Arial" w:hAnsi="Arial"/>
                <w:color w:val="172019"/>
                <w:sz w:val="15"/>
              </w:rPr>
              <w:t>Recorded in project evidence docs</w:t>
            </w:r>
          </w:p>
        </w:tc>
      </w:tr>
      <w:tr>
        <w:tc>
          <w:tcPr>
            <w:tcW w:type="dxa" w:w="2304"/>
            <w:vAlign w:val="top"/>
          </w:tcPr>
          <w:p>
            <w:pPr>
              <w:spacing w:after="20"/>
            </w:pPr>
            <w:r>
              <w:rPr>
                <w:rFonts w:ascii="Arial" w:hAnsi="Arial"/>
                <w:color w:val="172019"/>
                <w:sz w:val="15"/>
              </w:rPr>
              <w:t>Remaining acceptance</w:t>
            </w:r>
          </w:p>
        </w:tc>
        <w:tc>
          <w:tcPr>
            <w:tcW w:type="dxa" w:w="5328"/>
            <w:vAlign w:val="top"/>
          </w:tcPr>
          <w:p>
            <w:pPr>
              <w:spacing w:after="20"/>
            </w:pPr>
            <w:r>
              <w:rPr>
                <w:rFonts w:ascii="Arial" w:hAnsi="Arial"/>
                <w:color w:val="172019"/>
                <w:sz w:val="15"/>
              </w:rPr>
              <w:t>Public HTTPS, full Gate 1→Gate 2→Stage 3 journey, second-user UI denial, product latency/cost</w:t>
            </w:r>
          </w:p>
        </w:tc>
        <w:tc>
          <w:tcPr>
            <w:tcW w:type="dxa" w:w="2016"/>
            <w:vAlign w:val="top"/>
          </w:tcPr>
          <w:p>
            <w:pPr>
              <w:spacing w:after="20"/>
            </w:pPr>
            <w:r>
              <w:rPr>
                <w:rFonts w:ascii="Arial" w:hAnsi="Arial"/>
                <w:color w:val="172019"/>
                <w:sz w:val="15"/>
              </w:rPr>
              <w:t>Pending final acceptance</w:t>
            </w:r>
          </w:p>
        </w:tc>
      </w:tr>
    </w:tbl>
    <w:p>
      <w:pPr>
        <w:spacing w:after="0"/>
      </w:pPr>
    </w:p>
    <w:p>
      <w:pPr>
        <w:pStyle w:val="Heading2"/>
        <w:keepNext/>
      </w:pPr>
      <w:r>
        <w:t>What the score does—and does not mean</w:t>
      </w:r>
    </w:p>
    <w:p>
      <w:r>
        <w:rPr>
          <w:rFonts w:ascii="Arial" w:hAnsi="Arial"/>
          <w:b w:val="0"/>
        </w:rPr>
        <w:t>Decision Score summarizes the sufficiency and direction of currently accepted evidence. It is not a probability of startup success. Evidence Coverage shows how much decision-critical research has accepted support, Open Risks shows unresolved risk items, and Blueprint Progress shows completed planned modules. A 99/100 false-comfort outcome discovered during testing was corrected: desk research without behavioral proof cannot cross the commercial proceed threshold.</w:t>
      </w:r>
    </w:p>
    <w:p>
      <w:pPr>
        <w:pStyle w:val="Heading2"/>
        <w:keepNext/>
      </w:pPr>
      <w:r>
        <w:t>Evaluator-ready unhappy paths</w:t>
      </w:r>
    </w:p>
    <w:p>
      <w:pPr>
        <w:pStyle w:val="ListBullet"/>
        <w:spacing w:after="60"/>
        <w:ind w:left="288" w:hanging="173"/>
      </w:pPr>
      <w:r>
        <w:rPr>
          <w:rFonts w:ascii="Arial" w:hAnsi="Arial"/>
          <w:sz w:val="18"/>
        </w:rPr>
        <w:t>Ask Blueprint to send, ping, book, pay, publish, or delete: it denies the request and explains its scope.</w:t>
      </w:r>
    </w:p>
    <w:p>
      <w:pPr>
        <w:pStyle w:val="ListBullet"/>
        <w:spacing w:after="60"/>
        <w:ind w:left="288" w:hanging="173"/>
      </w:pPr>
      <w:r>
        <w:rPr>
          <w:rFonts w:ascii="Arial" w:hAnsi="Arial"/>
          <w:sz w:val="18"/>
        </w:rPr>
        <w:t>Force an empty search result or provider outage: completed siblings are preserved and the run returns a visible partial or safe failure.</w:t>
      </w:r>
    </w:p>
    <w:p>
      <w:pPr>
        <w:pStyle w:val="ListBullet"/>
        <w:spacing w:after="60"/>
        <w:ind w:left="288" w:hanging="173"/>
      </w:pPr>
      <w:r>
        <w:rPr>
          <w:rFonts w:ascii="Arial" w:hAnsi="Arial"/>
          <w:sz w:val="18"/>
        </w:rPr>
        <w:t>Return malformed JSON or an unsupported claim: parser/auditor repair is bounded; failure cannot become PASS.</w:t>
      </w:r>
    </w:p>
    <w:p>
      <w:pPr>
        <w:pStyle w:val="ListBullet"/>
        <w:spacing w:after="60"/>
        <w:ind w:left="288" w:hanging="173"/>
      </w:pPr>
      <w:r>
        <w:rPr>
          <w:rFonts w:ascii="Arial" w:hAnsi="Arial"/>
          <w:sz w:val="18"/>
        </w:rPr>
        <w:t>Submit a stale gate or rerun decision: the state-version check rejects replay.</w:t>
      </w:r>
    </w:p>
    <w:p>
      <w:pPr>
        <w:pStyle w:val="ListBullet"/>
        <w:spacing w:after="60"/>
        <w:ind w:left="288" w:hanging="173"/>
      </w:pPr>
      <w:r>
        <w:rPr>
          <w:rFonts w:ascii="Arial" w:hAnsi="Arial"/>
          <w:sz w:val="18"/>
        </w:rPr>
        <w:t>Ask the chat about an unstarted section: it states that evidence is not ready instead of inventing an answer.</w:t>
      </w:r>
    </w:p>
    <w:p>
      <w:r>
        <w:br w:type="page"/>
      </w:r>
    </w:p>
    <w:p>
      <w:pPr>
        <w:pStyle w:val="BlueprintKicker"/>
        <w:keepNext/>
      </w:pPr>
      <w:r>
        <w:rPr>
          <w:rFonts w:ascii="Arial" w:hAnsi="Arial"/>
          <w:b w:val="0"/>
        </w:rPr>
        <w:t>14 / HANDOUT COMPLIANCE</w:t>
      </w:r>
    </w:p>
    <w:p>
      <w:pPr>
        <w:pStyle w:val="Heading1"/>
        <w:keepNext/>
      </w:pPr>
      <w:r>
        <w:t>Requirements traceability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C2A"/>
            <w:vAlign w:val="center"/>
          </w:tcPr>
          <w:p>
            <w:pPr>
              <w:spacing w:after="0"/>
            </w:pPr>
            <w:r>
              <w:rPr>
                <w:rFonts w:ascii="Arial" w:hAnsi="Arial"/>
                <w:b/>
                <w:color w:val="FFFFFF"/>
                <w:sz w:val="14"/>
              </w:rPr>
              <w:t>Handout requirement</w:t>
            </w:r>
          </w:p>
        </w:tc>
        <w:tc>
          <w:tcPr>
            <w:tcW w:type="dxa" w:w="5256"/>
            <w:shd w:fill="173C2A"/>
            <w:vAlign w:val="center"/>
          </w:tcPr>
          <w:p>
            <w:pPr>
              <w:spacing w:after="0"/>
            </w:pPr>
            <w:r>
              <w:rPr>
                <w:rFonts w:ascii="Arial" w:hAnsi="Arial"/>
                <w:b/>
                <w:color w:val="FFFFFF"/>
                <w:sz w:val="14"/>
              </w:rPr>
              <w:t>Blueprint implementation</w:t>
            </w:r>
          </w:p>
        </w:tc>
        <w:tc>
          <w:tcPr>
            <w:tcW w:type="dxa" w:w="2016"/>
            <w:shd w:fill="173C2A"/>
            <w:vAlign w:val="center"/>
          </w:tcPr>
          <w:p>
            <w:pPr>
              <w:spacing w:after="0"/>
            </w:pPr>
            <w:r>
              <w:rPr>
                <w:rFonts w:ascii="Arial" w:hAnsi="Arial"/>
                <w:b/>
                <w:color w:val="FFFFFF"/>
                <w:sz w:val="14"/>
              </w:rPr>
              <w:t>Status / evidence</w:t>
            </w:r>
          </w:p>
        </w:tc>
      </w:tr>
      <w:tr>
        <w:tc>
          <w:tcPr>
            <w:tcW w:type="dxa" w:w="2376"/>
            <w:vAlign w:val="top"/>
          </w:tcPr>
          <w:p>
            <w:pPr>
              <w:spacing w:after="20"/>
            </w:pPr>
            <w:r>
              <w:rPr>
                <w:rFonts w:ascii="Arial" w:hAnsi="Arial"/>
                <w:color w:val="172019"/>
                <w:sz w:val="14"/>
              </w:rPr>
              <w:t>Agentic, multi-step task completion</w:t>
            </w:r>
          </w:p>
        </w:tc>
        <w:tc>
          <w:tcPr>
            <w:tcW w:type="dxa" w:w="5256"/>
            <w:vAlign w:val="top"/>
          </w:tcPr>
          <w:p>
            <w:pPr>
              <w:spacing w:after="20"/>
            </w:pPr>
            <w:r>
              <w:rPr>
                <w:rFonts w:ascii="Arial" w:hAnsi="Arial"/>
                <w:color w:val="172019"/>
                <w:sz w:val="14"/>
              </w:rPr>
              <w:t>Supervisor loop, task graph, specialist tools, audit, gates, terminal states</w:t>
            </w:r>
          </w:p>
        </w:tc>
        <w:tc>
          <w:tcPr>
            <w:tcW w:type="dxa" w:w="2016"/>
            <w:vAlign w:val="top"/>
          </w:tcPr>
          <w:p>
            <w:pPr>
              <w:spacing w:after="20"/>
            </w:pPr>
            <w:r>
              <w:rPr>
                <w:rFonts w:ascii="Arial" w:hAnsi="Arial"/>
                <w:color w:val="172019"/>
                <w:sz w:val="14"/>
              </w:rPr>
              <w:t>Implemented</w:t>
            </w:r>
          </w:p>
        </w:tc>
      </w:tr>
      <w:tr>
        <w:tc>
          <w:tcPr>
            <w:tcW w:type="dxa" w:w="2376"/>
            <w:shd w:fill="F6F7F5"/>
            <w:vAlign w:val="top"/>
          </w:tcPr>
          <w:p>
            <w:pPr>
              <w:spacing w:after="20"/>
            </w:pPr>
            <w:r>
              <w:rPr>
                <w:rFonts w:ascii="Arial" w:hAnsi="Arial"/>
                <w:color w:val="172019"/>
                <w:sz w:val="14"/>
              </w:rPr>
              <w:t>Explicit state and memory</w:t>
            </w:r>
          </w:p>
        </w:tc>
        <w:tc>
          <w:tcPr>
            <w:tcW w:type="dxa" w:w="5256"/>
            <w:shd w:fill="F6F7F5"/>
            <w:vAlign w:val="top"/>
          </w:tcPr>
          <w:p>
            <w:pPr>
              <w:spacing w:after="20"/>
            </w:pPr>
            <w:r>
              <w:rPr>
                <w:rFonts w:ascii="Arial" w:hAnsi="Arial"/>
                <w:color w:val="172019"/>
                <w:sz w:val="14"/>
              </w:rPr>
              <w:t>Supabase canonical state; session, Pinecone, Mem0, versions</w:t>
            </w:r>
          </w:p>
        </w:tc>
        <w:tc>
          <w:tcPr>
            <w:tcW w:type="dxa" w:w="2016"/>
            <w:shd w:fill="F6F7F5"/>
            <w:vAlign w:val="top"/>
          </w:tcPr>
          <w:p>
            <w:pPr>
              <w:spacing w:after="20"/>
            </w:pPr>
            <w:r>
              <w:rPr>
                <w:rFonts w:ascii="Arial" w:hAnsi="Arial"/>
                <w:color w:val="172019"/>
                <w:sz w:val="14"/>
              </w:rPr>
              <w:t>Implemented; UI memory controls remain future</w:t>
            </w:r>
          </w:p>
        </w:tc>
      </w:tr>
      <w:tr>
        <w:tc>
          <w:tcPr>
            <w:tcW w:type="dxa" w:w="2376"/>
            <w:vAlign w:val="top"/>
          </w:tcPr>
          <w:p>
            <w:pPr>
              <w:spacing w:after="20"/>
            </w:pPr>
            <w:r>
              <w:rPr>
                <w:rFonts w:ascii="Arial" w:hAnsi="Arial"/>
                <w:color w:val="172019"/>
                <w:sz w:val="14"/>
              </w:rPr>
              <w:t>Deliberate routing and branching</w:t>
            </w:r>
          </w:p>
        </w:tc>
        <w:tc>
          <w:tcPr>
            <w:tcW w:type="dxa" w:w="5256"/>
            <w:vAlign w:val="top"/>
          </w:tcPr>
          <w:p>
            <w:pPr>
              <w:spacing w:after="20"/>
            </w:pPr>
            <w:r>
              <w:rPr>
                <w:rFonts w:ascii="Arial" w:hAnsi="Arial"/>
                <w:color w:val="172019"/>
                <w:sz w:val="14"/>
              </w:rPr>
              <w:t>Eligibility, dependencies, contradictions, pause, repair, partial, stop</w:t>
            </w:r>
          </w:p>
        </w:tc>
        <w:tc>
          <w:tcPr>
            <w:tcW w:type="dxa" w:w="2016"/>
            <w:vAlign w:val="top"/>
          </w:tcPr>
          <w:p>
            <w:pPr>
              <w:spacing w:after="20"/>
            </w:pPr>
            <w:r>
              <w:rPr>
                <w:rFonts w:ascii="Arial" w:hAnsi="Arial"/>
                <w:color w:val="172019"/>
                <w:sz w:val="14"/>
              </w:rPr>
              <w:t>Implemented and evaluated</w:t>
            </w:r>
          </w:p>
        </w:tc>
      </w:tr>
      <w:tr>
        <w:tc>
          <w:tcPr>
            <w:tcW w:type="dxa" w:w="2376"/>
            <w:shd w:fill="F6F7F5"/>
            <w:vAlign w:val="top"/>
          </w:tcPr>
          <w:p>
            <w:pPr>
              <w:spacing w:after="20"/>
            </w:pPr>
            <w:r>
              <w:rPr>
                <w:rFonts w:ascii="Arial" w:hAnsi="Arial"/>
                <w:color w:val="172019"/>
                <w:sz w:val="14"/>
              </w:rPr>
              <w:t>Agent roles and handoffs</w:t>
            </w:r>
          </w:p>
        </w:tc>
        <w:tc>
          <w:tcPr>
            <w:tcW w:type="dxa" w:w="5256"/>
            <w:shd w:fill="F6F7F5"/>
            <w:vAlign w:val="top"/>
          </w:tcPr>
          <w:p>
            <w:pPr>
              <w:spacing w:after="20"/>
            </w:pPr>
            <w:r>
              <w:rPr>
                <w:rFonts w:ascii="Arial" w:hAnsi="Arial"/>
                <w:color w:val="172019"/>
                <w:sz w:val="14"/>
              </w:rPr>
              <w:t>Narrow role contracts and structured observations</w:t>
            </w:r>
          </w:p>
        </w:tc>
        <w:tc>
          <w:tcPr>
            <w:tcW w:type="dxa" w:w="2016"/>
            <w:shd w:fill="F6F7F5"/>
            <w:vAlign w:val="top"/>
          </w:tcPr>
          <w:p>
            <w:pPr>
              <w:spacing w:after="20"/>
            </w:pPr>
            <w:r>
              <w:rPr>
                <w:rFonts w:ascii="Arial" w:hAnsi="Arial"/>
                <w:color w:val="172019"/>
                <w:sz w:val="14"/>
              </w:rPr>
              <w:t>Implemented</w:t>
            </w:r>
          </w:p>
        </w:tc>
      </w:tr>
      <w:tr>
        <w:tc>
          <w:tcPr>
            <w:tcW w:type="dxa" w:w="2376"/>
            <w:vAlign w:val="top"/>
          </w:tcPr>
          <w:p>
            <w:pPr>
              <w:spacing w:after="20"/>
            </w:pPr>
            <w:r>
              <w:rPr>
                <w:rFonts w:ascii="Arial" w:hAnsi="Arial"/>
                <w:color w:val="172019"/>
                <w:sz w:val="14"/>
              </w:rPr>
              <w:t>Tool use</w:t>
            </w:r>
          </w:p>
        </w:tc>
        <w:tc>
          <w:tcPr>
            <w:tcW w:type="dxa" w:w="5256"/>
            <w:vAlign w:val="top"/>
          </w:tcPr>
          <w:p>
            <w:pPr>
              <w:spacing w:after="20"/>
            </w:pPr>
            <w:r>
              <w:rPr>
                <w:rFonts w:ascii="Arial" w:hAnsi="Arial"/>
                <w:color w:val="172019"/>
                <w:sz w:val="14"/>
              </w:rPr>
              <w:t>You.com, Nebius, Supabase, Pinecone, Mem0 via n8n</w:t>
            </w:r>
          </w:p>
        </w:tc>
        <w:tc>
          <w:tcPr>
            <w:tcW w:type="dxa" w:w="2016"/>
            <w:vAlign w:val="top"/>
          </w:tcPr>
          <w:p>
            <w:pPr>
              <w:spacing w:after="20"/>
            </w:pPr>
            <w:r>
              <w:rPr>
                <w:rFonts w:ascii="Arial" w:hAnsi="Arial"/>
                <w:color w:val="172019"/>
                <w:sz w:val="14"/>
              </w:rPr>
              <w:t>Implemented; public HTTPS pending</w:t>
            </w:r>
          </w:p>
        </w:tc>
      </w:tr>
      <w:tr>
        <w:tc>
          <w:tcPr>
            <w:tcW w:type="dxa" w:w="2376"/>
            <w:shd w:fill="F6F7F5"/>
            <w:vAlign w:val="top"/>
          </w:tcPr>
          <w:p>
            <w:pPr>
              <w:spacing w:after="20"/>
            </w:pPr>
            <w:r>
              <w:rPr>
                <w:rFonts w:ascii="Arial" w:hAnsi="Arial"/>
                <w:color w:val="172019"/>
                <w:sz w:val="14"/>
              </w:rPr>
              <w:t>Grounding and validation</w:t>
            </w:r>
          </w:p>
        </w:tc>
        <w:tc>
          <w:tcPr>
            <w:tcW w:type="dxa" w:w="5256"/>
            <w:shd w:fill="F6F7F5"/>
            <w:vAlign w:val="top"/>
          </w:tcPr>
          <w:p>
            <w:pPr>
              <w:spacing w:after="20"/>
            </w:pPr>
            <w:r>
              <w:rPr>
                <w:rFonts w:ascii="Arial" w:hAnsi="Arial"/>
                <w:color w:val="172019"/>
                <w:sz w:val="14"/>
              </w:rPr>
              <w:t>Source metadata, evidence audit, parser/schema checks, deterministic finance</w:t>
            </w:r>
          </w:p>
        </w:tc>
        <w:tc>
          <w:tcPr>
            <w:tcW w:type="dxa" w:w="2016"/>
            <w:shd w:fill="F6F7F5"/>
            <w:vAlign w:val="top"/>
          </w:tcPr>
          <w:p>
            <w:pPr>
              <w:spacing w:after="20"/>
            </w:pPr>
            <w:r>
              <w:rPr>
                <w:rFonts w:ascii="Arial" w:hAnsi="Arial"/>
                <w:color w:val="172019"/>
                <w:sz w:val="14"/>
              </w:rPr>
              <w:t>Implemented; direct-page verification gap remains</w:t>
            </w:r>
          </w:p>
        </w:tc>
      </w:tr>
      <w:tr>
        <w:tc>
          <w:tcPr>
            <w:tcW w:type="dxa" w:w="2376"/>
            <w:vAlign w:val="top"/>
          </w:tcPr>
          <w:p>
            <w:pPr>
              <w:spacing w:after="20"/>
            </w:pPr>
            <w:r>
              <w:rPr>
                <w:rFonts w:ascii="Arial" w:hAnsi="Arial"/>
                <w:color w:val="172019"/>
                <w:sz w:val="14"/>
              </w:rPr>
              <w:t>Human-in-the-loop</w:t>
            </w:r>
          </w:p>
        </w:tc>
        <w:tc>
          <w:tcPr>
            <w:tcW w:type="dxa" w:w="5256"/>
            <w:vAlign w:val="top"/>
          </w:tcPr>
          <w:p>
            <w:pPr>
              <w:spacing w:after="20"/>
            </w:pPr>
            <w:r>
              <w:rPr>
                <w:rFonts w:ascii="Arial" w:hAnsi="Arial"/>
                <w:color w:val="172019"/>
                <w:sz w:val="14"/>
              </w:rPr>
              <w:t>Gate 1, Gate 2, ambiguity, correction/rerun, repeated failure</w:t>
            </w:r>
          </w:p>
        </w:tc>
        <w:tc>
          <w:tcPr>
            <w:tcW w:type="dxa" w:w="2016"/>
            <w:vAlign w:val="top"/>
          </w:tcPr>
          <w:p>
            <w:pPr>
              <w:spacing w:after="20"/>
            </w:pPr>
            <w:r>
              <w:rPr>
                <w:rFonts w:ascii="Arial" w:hAnsi="Arial"/>
                <w:color w:val="172019"/>
                <w:sz w:val="14"/>
              </w:rPr>
              <w:t>Implemented; full live gate acceptance pending</w:t>
            </w:r>
          </w:p>
        </w:tc>
      </w:tr>
      <w:tr>
        <w:tc>
          <w:tcPr>
            <w:tcW w:type="dxa" w:w="2376"/>
            <w:shd w:fill="F6F7F5"/>
            <w:vAlign w:val="top"/>
          </w:tcPr>
          <w:p>
            <w:pPr>
              <w:spacing w:after="20"/>
            </w:pPr>
            <w:r>
              <w:rPr>
                <w:rFonts w:ascii="Arial" w:hAnsi="Arial"/>
                <w:color w:val="172019"/>
                <w:sz w:val="14"/>
              </w:rPr>
              <w:t>Failures and recovery</w:t>
            </w:r>
          </w:p>
        </w:tc>
        <w:tc>
          <w:tcPr>
            <w:tcW w:type="dxa" w:w="5256"/>
            <w:shd w:fill="F6F7F5"/>
            <w:vAlign w:val="top"/>
          </w:tcPr>
          <w:p>
            <w:pPr>
              <w:spacing w:after="20"/>
            </w:pPr>
            <w:r>
              <w:rPr>
                <w:rFonts w:ascii="Arial" w:hAnsi="Arial"/>
                <w:color w:val="172019"/>
                <w:sz w:val="14"/>
              </w:rPr>
              <w:t>Retry, repair, replan, partial, denial, BP-90 safe terminal</w:t>
            </w:r>
          </w:p>
        </w:tc>
        <w:tc>
          <w:tcPr>
            <w:tcW w:type="dxa" w:w="2016"/>
            <w:shd w:fill="F6F7F5"/>
            <w:vAlign w:val="top"/>
          </w:tcPr>
          <w:p>
            <w:pPr>
              <w:spacing w:after="20"/>
            </w:pPr>
            <w:r>
              <w:rPr>
                <w:rFonts w:ascii="Arial" w:hAnsi="Arial"/>
                <w:color w:val="172019"/>
                <w:sz w:val="14"/>
              </w:rPr>
              <w:t>Implemented and evaluated</w:t>
            </w:r>
          </w:p>
        </w:tc>
      </w:tr>
      <w:tr>
        <w:tc>
          <w:tcPr>
            <w:tcW w:type="dxa" w:w="2376"/>
            <w:vAlign w:val="top"/>
          </w:tcPr>
          <w:p>
            <w:pPr>
              <w:spacing w:after="20"/>
            </w:pPr>
            <w:r>
              <w:rPr>
                <w:rFonts w:ascii="Arial" w:hAnsi="Arial"/>
                <w:color w:val="172019"/>
                <w:sz w:val="14"/>
              </w:rPr>
              <w:t>Observability</w:t>
            </w:r>
          </w:p>
        </w:tc>
        <w:tc>
          <w:tcPr>
            <w:tcW w:type="dxa" w:w="5256"/>
            <w:vAlign w:val="top"/>
          </w:tcPr>
          <w:p>
            <w:pPr>
              <w:spacing w:after="20"/>
            </w:pPr>
            <w:r>
              <w:rPr>
                <w:rFonts w:ascii="Arial" w:hAnsi="Arial"/>
                <w:color w:val="172019"/>
                <w:sz w:val="14"/>
              </w:rPr>
              <w:t>Transitions, route reasons, counters, provider/model, provenance, errors</w:t>
            </w:r>
          </w:p>
        </w:tc>
        <w:tc>
          <w:tcPr>
            <w:tcW w:type="dxa" w:w="2016"/>
            <w:vAlign w:val="top"/>
          </w:tcPr>
          <w:p>
            <w:pPr>
              <w:spacing w:after="20"/>
            </w:pPr>
            <w:r>
              <w:rPr>
                <w:rFonts w:ascii="Arial" w:hAnsi="Arial"/>
                <w:color w:val="172019"/>
                <w:sz w:val="14"/>
              </w:rPr>
              <w:t>Implemented; latency/cost population partial</w:t>
            </w:r>
          </w:p>
        </w:tc>
      </w:tr>
      <w:tr>
        <w:tc>
          <w:tcPr>
            <w:tcW w:type="dxa" w:w="2376"/>
            <w:shd w:fill="F6F7F5"/>
            <w:vAlign w:val="top"/>
          </w:tcPr>
          <w:p>
            <w:pPr>
              <w:spacing w:after="20"/>
            </w:pPr>
            <w:r>
              <w:rPr>
                <w:rFonts w:ascii="Arial" w:hAnsi="Arial"/>
                <w:color w:val="172019"/>
                <w:sz w:val="14"/>
              </w:rPr>
              <w:t>Evaluation</w:t>
            </w:r>
          </w:p>
        </w:tc>
        <w:tc>
          <w:tcPr>
            <w:tcW w:type="dxa" w:w="5256"/>
            <w:shd w:fill="F6F7F5"/>
            <w:vAlign w:val="top"/>
          </w:tcPr>
          <w:p>
            <w:pPr>
              <w:spacing w:after="20"/>
            </w:pPr>
            <w:r>
              <w:rPr>
                <w:rFonts w:ascii="Arial" w:hAnsi="Arial"/>
                <w:color w:val="172019"/>
                <w:sz w:val="14"/>
              </w:rPr>
              <w:t>79-case contract suite + 14 Python tests + planner branches</w:t>
            </w:r>
          </w:p>
        </w:tc>
        <w:tc>
          <w:tcPr>
            <w:tcW w:type="dxa" w:w="2016"/>
            <w:shd w:fill="F6F7F5"/>
            <w:vAlign w:val="top"/>
          </w:tcPr>
          <w:p>
            <w:pPr>
              <w:spacing w:after="20"/>
            </w:pPr>
            <w:r>
              <w:rPr>
                <w:rFonts w:ascii="Arial" w:hAnsi="Arial"/>
                <w:color w:val="172019"/>
                <w:sz w:val="14"/>
              </w:rPr>
              <w:t>Passing</w:t>
            </w:r>
          </w:p>
        </w:tc>
      </w:tr>
      <w:tr>
        <w:tc>
          <w:tcPr>
            <w:tcW w:type="dxa" w:w="2376"/>
            <w:vAlign w:val="top"/>
          </w:tcPr>
          <w:p>
            <w:pPr>
              <w:spacing w:after="20"/>
            </w:pPr>
            <w:r>
              <w:rPr>
                <w:rFonts w:ascii="Arial" w:hAnsi="Arial"/>
                <w:color w:val="172019"/>
                <w:sz w:val="14"/>
              </w:rPr>
              <w:t>Interface and output</w:t>
            </w:r>
          </w:p>
        </w:tc>
        <w:tc>
          <w:tcPr>
            <w:tcW w:type="dxa" w:w="5256"/>
            <w:vAlign w:val="top"/>
          </w:tcPr>
          <w:p>
            <w:pPr>
              <w:spacing w:after="20"/>
            </w:pPr>
            <w:r>
              <w:rPr>
                <w:rFonts w:ascii="Arial" w:hAnsi="Arial"/>
                <w:color w:val="172019"/>
                <w:sz w:val="14"/>
              </w:rPr>
              <w:t>Streamlit workspace, KPIs, sections, sources, chat, Blueprint and finance views</w:t>
            </w:r>
          </w:p>
        </w:tc>
        <w:tc>
          <w:tcPr>
            <w:tcW w:type="dxa" w:w="2016"/>
            <w:vAlign w:val="top"/>
          </w:tcPr>
          <w:p>
            <w:pPr>
              <w:spacing w:after="20"/>
            </w:pPr>
            <w:r>
              <w:rPr>
                <w:rFonts w:ascii="Arial" w:hAnsi="Arial"/>
                <w:color w:val="172019"/>
                <w:sz w:val="14"/>
              </w:rPr>
              <w:t>Implemented; final browser acceptance after deploy</w:t>
            </w:r>
          </w:p>
        </w:tc>
      </w:tr>
      <w:tr>
        <w:tc>
          <w:tcPr>
            <w:tcW w:type="dxa" w:w="2376"/>
            <w:shd w:fill="F6F7F5"/>
            <w:vAlign w:val="top"/>
          </w:tcPr>
          <w:p>
            <w:pPr>
              <w:spacing w:after="20"/>
            </w:pPr>
            <w:r>
              <w:rPr>
                <w:rFonts w:ascii="Arial" w:hAnsi="Arial"/>
                <w:color w:val="172019"/>
                <w:sz w:val="14"/>
              </w:rPr>
              <w:t>At least one Nebius model call</w:t>
            </w:r>
          </w:p>
        </w:tc>
        <w:tc>
          <w:tcPr>
            <w:tcW w:type="dxa" w:w="5256"/>
            <w:shd w:fill="F6F7F5"/>
            <w:vAlign w:val="top"/>
          </w:tcPr>
          <w:p>
            <w:pPr>
              <w:spacing w:after="20"/>
            </w:pPr>
            <w:r>
              <w:rPr>
                <w:rFonts w:ascii="Arial" w:hAnsi="Arial"/>
                <w:color w:val="172019"/>
                <w:sz w:val="14"/>
              </w:rPr>
              <w:t>Nebius is the primary specialist/synthesis/critic model path</w:t>
            </w:r>
          </w:p>
        </w:tc>
        <w:tc>
          <w:tcPr>
            <w:tcW w:type="dxa" w:w="2016"/>
            <w:shd w:fill="F6F7F5"/>
            <w:vAlign w:val="top"/>
          </w:tcPr>
          <w:p>
            <w:pPr>
              <w:spacing w:after="20"/>
            </w:pPr>
            <w:r>
              <w:rPr>
                <w:rFonts w:ascii="Arial" w:hAnsi="Arial"/>
                <w:color w:val="172019"/>
                <w:sz w:val="14"/>
              </w:rPr>
              <w:t>Implemented</w:t>
            </w:r>
          </w:p>
        </w:tc>
      </w:tr>
      <w:tr>
        <w:tc>
          <w:tcPr>
            <w:tcW w:type="dxa" w:w="2376"/>
            <w:vAlign w:val="top"/>
          </w:tcPr>
          <w:p>
            <w:pPr>
              <w:spacing w:after="20"/>
            </w:pPr>
            <w:r>
              <w:rPr>
                <w:rFonts w:ascii="Arial" w:hAnsi="Arial"/>
                <w:color w:val="172019"/>
                <w:sz w:val="14"/>
              </w:rPr>
              <w:t>Project documentation</w:t>
            </w:r>
          </w:p>
        </w:tc>
        <w:tc>
          <w:tcPr>
            <w:tcW w:type="dxa" w:w="5256"/>
            <w:vAlign w:val="top"/>
          </w:tcPr>
          <w:p>
            <w:pPr>
              <w:spacing w:after="20"/>
            </w:pPr>
            <w:r>
              <w:rPr>
                <w:rFonts w:ascii="Arial" w:hAnsi="Arial"/>
                <w:color w:val="172019"/>
                <w:sz w:val="14"/>
              </w:rPr>
              <w:t>This document plus repository docs and workflow exports</w:t>
            </w:r>
          </w:p>
        </w:tc>
        <w:tc>
          <w:tcPr>
            <w:tcW w:type="dxa" w:w="2016"/>
            <w:vAlign w:val="top"/>
          </w:tcPr>
          <w:p>
            <w:pPr>
              <w:spacing w:after="20"/>
            </w:pPr>
            <w:r>
              <w:rPr>
                <w:rFonts w:ascii="Arial" w:hAnsi="Arial"/>
                <w:color w:val="172019"/>
                <w:sz w:val="14"/>
              </w:rPr>
              <w:t>Completed by this artifact</w:t>
            </w:r>
          </w:p>
        </w:tc>
      </w:tr>
      <w:tr>
        <w:tc>
          <w:tcPr>
            <w:tcW w:type="dxa" w:w="2376"/>
            <w:shd w:fill="F6F7F5"/>
            <w:vAlign w:val="top"/>
          </w:tcPr>
          <w:p>
            <w:pPr>
              <w:spacing w:after="20"/>
            </w:pPr>
            <w:r>
              <w:rPr>
                <w:rFonts w:ascii="Arial" w:hAnsi="Arial"/>
                <w:color w:val="172019"/>
                <w:sz w:val="14"/>
              </w:rPr>
              <w:t>≤5-minute video</w:t>
            </w:r>
          </w:p>
        </w:tc>
        <w:tc>
          <w:tcPr>
            <w:tcW w:type="dxa" w:w="5256"/>
            <w:shd w:fill="F6F7F5"/>
            <w:vAlign w:val="top"/>
          </w:tcPr>
          <w:p>
            <w:pPr>
              <w:spacing w:after="20"/>
            </w:pPr>
            <w:r>
              <w:rPr>
                <w:rFonts w:ascii="Arial" w:hAnsi="Arial"/>
                <w:color w:val="172019"/>
                <w:sz w:val="14"/>
              </w:rPr>
              <w:t>Script and live path to be recorded after public deployment</w:t>
            </w:r>
          </w:p>
        </w:tc>
        <w:tc>
          <w:tcPr>
            <w:tcW w:type="dxa" w:w="2016"/>
            <w:shd w:fill="F6F7F5"/>
            <w:vAlign w:val="top"/>
          </w:tcPr>
          <w:p>
            <w:pPr>
              <w:spacing w:after="20"/>
            </w:pPr>
            <w:r>
              <w:rPr>
                <w:rFonts w:ascii="Arial" w:hAnsi="Arial"/>
                <w:color w:val="172019"/>
                <w:sz w:val="14"/>
              </w:rPr>
              <w:t>Pending submission asset</w:t>
            </w:r>
          </w:p>
        </w:tc>
      </w:tr>
      <w:tr>
        <w:tc>
          <w:tcPr>
            <w:tcW w:type="dxa" w:w="2376"/>
            <w:vAlign w:val="top"/>
          </w:tcPr>
          <w:p>
            <w:pPr>
              <w:spacing w:after="20"/>
            </w:pPr>
            <w:r>
              <w:rPr>
                <w:rFonts w:ascii="Arial" w:hAnsi="Arial"/>
                <w:color w:val="172019"/>
                <w:sz w:val="14"/>
              </w:rPr>
              <w:t>GitHub code</w:t>
            </w:r>
          </w:p>
        </w:tc>
        <w:tc>
          <w:tcPr>
            <w:tcW w:type="dxa" w:w="5256"/>
            <w:vAlign w:val="top"/>
          </w:tcPr>
          <w:p>
            <w:pPr>
              <w:spacing w:after="20"/>
            </w:pPr>
            <w:r>
              <w:rPr>
                <w:rFonts w:ascii="Arial" w:hAnsi="Arial"/>
                <w:color w:val="172019"/>
                <w:sz w:val="14"/>
              </w:rPr>
              <w:t>Repository with sanitized exports, migrations, tests, and UI</w:t>
            </w:r>
          </w:p>
        </w:tc>
        <w:tc>
          <w:tcPr>
            <w:tcW w:type="dxa" w:w="2016"/>
            <w:vAlign w:val="top"/>
          </w:tcPr>
          <w:p>
            <w:pPr>
              <w:spacing w:after="20"/>
            </w:pPr>
            <w:r>
              <w:rPr>
                <w:rFonts w:ascii="Arial" w:hAnsi="Arial"/>
                <w:color w:val="172019"/>
                <w:sz w:val="14"/>
              </w:rPr>
              <w:t>Prepared; final push/check pending</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AF1F7"/>
            <w:tcBorders>
              <w:left w:val="single" w:sz="22" w:color="2F7D4F"/>
            </w:tcBorders>
            <w:vAlign w:val="center"/>
          </w:tcPr>
          <w:p>
            <w:pPr>
              <w:spacing w:before="120" w:after="120"/>
            </w:pPr>
            <w:r>
              <w:rPr>
                <w:rFonts w:ascii="Arial" w:hAnsi="Arial"/>
                <w:b/>
                <w:color w:val="173C2A"/>
                <w:sz w:val="20"/>
              </w:rPr>
              <w:t>Submission integrity</w:t>
              <w:br/>
            </w:r>
            <w:r>
              <w:rPr>
                <w:rFonts w:ascii="Arial" w:hAnsi="Arial"/>
                <w:color w:val="172019"/>
                <w:sz w:val="18"/>
              </w:rPr>
              <w:t>The six supplied project kits were used to study documentation patterns—architecture diagrams, node tables, deliberate decisions, prompt libraries, error handling, and test checklists. Blueprint’s use case, architecture, workflows, prompts, contracts, and outputs are original; copying a supplied solution was explicitly avoided.</w:t>
            </w:r>
          </w:p>
        </w:tc>
      </w:tr>
    </w:tbl>
    <w:p>
      <w:pPr>
        <w:spacing w:after="0"/>
      </w:pPr>
    </w:p>
    <w:p>
      <w:r>
        <w:br w:type="page"/>
      </w:r>
    </w:p>
    <w:p>
      <w:pPr>
        <w:pStyle w:val="BlueprintKicker"/>
        <w:keepNext/>
      </w:pPr>
      <w:r>
        <w:rPr>
          <w:rFonts w:ascii="Arial" w:hAnsi="Arial"/>
          <w:b w:val="0"/>
        </w:rPr>
        <w:t>15 / HOW THE PRODUCT EVOLVED</w:t>
      </w:r>
    </w:p>
    <w:p>
      <w:pPr>
        <w:pStyle w:val="Heading1"/>
        <w:keepNext/>
      </w:pPr>
      <w:r>
        <w:t>Build prompts, iterations, and learnings</w:t>
      </w:r>
    </w:p>
    <w:p>
      <w:pPr>
        <w:pStyle w:val="Heading2"/>
        <w:keepNext/>
      </w:pPr>
      <w:r>
        <w:t>Sanitized prompt log</w:t>
      </w:r>
    </w:p>
    <w:p>
      <w:r>
        <w:rPr>
          <w:rFonts w:ascii="Arial" w:hAnsi="Arial"/>
          <w:b w:val="0"/>
        </w:rPr>
        <w:t>The formal build log originally captured one prompt. The remaining rows below are sanitized intent summaries reconstructed from implementation checkpoints—not verbatim private conversation and never secret-bearing.</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224"/>
            <w:shd w:fill="173C2A"/>
            <w:vAlign w:val="center"/>
          </w:tcPr>
          <w:p>
            <w:pPr>
              <w:spacing w:after="0"/>
            </w:pPr>
            <w:r>
              <w:rPr>
                <w:rFonts w:ascii="Arial" w:hAnsi="Arial"/>
                <w:b/>
                <w:color w:val="FFFFFF"/>
                <w:sz w:val="14"/>
              </w:rPr>
              <w:t>Phase</w:t>
            </w:r>
          </w:p>
        </w:tc>
        <w:tc>
          <w:tcPr>
            <w:tcW w:type="dxa" w:w="4392"/>
            <w:shd w:fill="173C2A"/>
            <w:vAlign w:val="center"/>
          </w:tcPr>
          <w:p>
            <w:pPr>
              <w:spacing w:after="0"/>
            </w:pPr>
            <w:r>
              <w:rPr>
                <w:rFonts w:ascii="Arial" w:hAnsi="Arial"/>
                <w:b/>
                <w:color w:val="FFFFFF"/>
                <w:sz w:val="14"/>
              </w:rPr>
              <w:t>Sanitized prompt intent</w:t>
            </w:r>
          </w:p>
        </w:tc>
        <w:tc>
          <w:tcPr>
            <w:tcW w:type="dxa" w:w="2232"/>
            <w:shd w:fill="173C2A"/>
            <w:vAlign w:val="center"/>
          </w:tcPr>
          <w:p>
            <w:pPr>
              <w:spacing w:after="0"/>
            </w:pPr>
            <w:r>
              <w:rPr>
                <w:rFonts w:ascii="Arial" w:hAnsi="Arial"/>
                <w:b/>
                <w:color w:val="FFFFFF"/>
                <w:sz w:val="14"/>
              </w:rPr>
              <w:t>Output used</w:t>
            </w:r>
          </w:p>
        </w:tc>
        <w:tc>
          <w:tcPr>
            <w:tcW w:type="dxa" w:w="1944"/>
            <w:shd w:fill="173C2A"/>
            <w:vAlign w:val="center"/>
          </w:tcPr>
          <w:p>
            <w:pPr>
              <w:spacing w:after="0"/>
            </w:pPr>
            <w:r>
              <w:rPr>
                <w:rFonts w:ascii="Arial" w:hAnsi="Arial"/>
                <w:b/>
                <w:color w:val="FFFFFF"/>
                <w:sz w:val="14"/>
              </w:rPr>
              <w:t>Human refinement</w:t>
            </w:r>
          </w:p>
        </w:tc>
      </w:tr>
      <w:tr>
        <w:tc>
          <w:tcPr>
            <w:tcW w:type="dxa" w:w="1224"/>
            <w:vAlign w:val="top"/>
          </w:tcPr>
          <w:p>
            <w:pPr>
              <w:spacing w:after="20"/>
            </w:pPr>
            <w:r>
              <w:rPr>
                <w:rFonts w:ascii="Arial" w:hAnsi="Arial"/>
                <w:color w:val="172019"/>
                <w:sz w:val="14"/>
              </w:rPr>
              <w:t>Architecture</w:t>
            </w:r>
          </w:p>
        </w:tc>
        <w:tc>
          <w:tcPr>
            <w:tcW w:type="dxa" w:w="4392"/>
            <w:vAlign w:val="top"/>
          </w:tcPr>
          <w:p>
            <w:pPr>
              <w:spacing w:after="20"/>
            </w:pPr>
            <w:r>
              <w:rPr>
                <w:rFonts w:ascii="Arial" w:hAnsi="Arial"/>
                <w:color w:val="172019"/>
                <w:sz w:val="14"/>
              </w:rPr>
              <w:t>Convert the audited requirements into a phased, safe n8n implementation workspace.</w:t>
            </w:r>
          </w:p>
        </w:tc>
        <w:tc>
          <w:tcPr>
            <w:tcW w:type="dxa" w:w="2232"/>
            <w:vAlign w:val="top"/>
          </w:tcPr>
          <w:p>
            <w:pPr>
              <w:spacing w:after="20"/>
            </w:pPr>
            <w:r>
              <w:rPr>
                <w:rFonts w:ascii="Arial" w:hAnsi="Arial"/>
                <w:color w:val="172019"/>
                <w:sz w:val="14"/>
              </w:rPr>
              <w:t>Roadmap, preflight, repository skeleton</w:t>
            </w:r>
          </w:p>
        </w:tc>
        <w:tc>
          <w:tcPr>
            <w:tcW w:type="dxa" w:w="1944"/>
            <w:vAlign w:val="top"/>
          </w:tcPr>
          <w:p>
            <w:pPr>
              <w:spacing w:after="20"/>
            </w:pPr>
            <w:r>
              <w:rPr>
                <w:rFonts w:ascii="Arial" w:hAnsi="Arial"/>
                <w:color w:val="172019"/>
                <w:sz w:val="14"/>
              </w:rPr>
              <w:t>Founder scope narrowed to an existing idea</w:t>
            </w:r>
          </w:p>
        </w:tc>
      </w:tr>
      <w:tr>
        <w:tc>
          <w:tcPr>
            <w:tcW w:type="dxa" w:w="1224"/>
            <w:shd w:fill="F6F7F5"/>
            <w:vAlign w:val="top"/>
          </w:tcPr>
          <w:p>
            <w:pPr>
              <w:spacing w:after="20"/>
            </w:pPr>
            <w:r>
              <w:rPr>
                <w:rFonts w:ascii="Arial" w:hAnsi="Arial"/>
                <w:color w:val="172019"/>
                <w:sz w:val="14"/>
              </w:rPr>
              <w:t>Product flow</w:t>
            </w:r>
          </w:p>
        </w:tc>
        <w:tc>
          <w:tcPr>
            <w:tcW w:type="dxa" w:w="4392"/>
            <w:shd w:fill="F6F7F5"/>
            <w:vAlign w:val="top"/>
          </w:tcPr>
          <w:p>
            <w:pPr>
              <w:spacing w:after="20"/>
            </w:pPr>
            <w:r>
              <w:rPr>
                <w:rFonts w:ascii="Arial" w:hAnsi="Arial"/>
                <w:color w:val="172019"/>
                <w:sz w:val="14"/>
              </w:rPr>
              <w:t>Create a staged founder journey with research verdicts and explicit go/revise/pause/stop gates.</w:t>
            </w:r>
          </w:p>
        </w:tc>
        <w:tc>
          <w:tcPr>
            <w:tcW w:type="dxa" w:w="2232"/>
            <w:shd w:fill="F6F7F5"/>
            <w:vAlign w:val="top"/>
          </w:tcPr>
          <w:p>
            <w:pPr>
              <w:spacing w:after="20"/>
            </w:pPr>
            <w:r>
              <w:rPr>
                <w:rFonts w:ascii="Arial" w:hAnsi="Arial"/>
                <w:color w:val="172019"/>
                <w:sz w:val="14"/>
              </w:rPr>
              <w:t>Stage planner and gate contracts</w:t>
            </w:r>
          </w:p>
        </w:tc>
        <w:tc>
          <w:tcPr>
            <w:tcW w:type="dxa" w:w="1944"/>
            <w:shd w:fill="F6F7F5"/>
            <w:vAlign w:val="top"/>
          </w:tcPr>
          <w:p>
            <w:pPr>
              <w:spacing w:after="20"/>
            </w:pPr>
            <w:r>
              <w:rPr>
                <w:rFonts w:ascii="Arial" w:hAnsi="Arial"/>
                <w:color w:val="172019"/>
                <w:sz w:val="14"/>
              </w:rPr>
              <w:t>Execution narrowed to advisory milestones</w:t>
            </w:r>
          </w:p>
        </w:tc>
      </w:tr>
      <w:tr>
        <w:tc>
          <w:tcPr>
            <w:tcW w:type="dxa" w:w="1224"/>
            <w:vAlign w:val="top"/>
          </w:tcPr>
          <w:p>
            <w:pPr>
              <w:spacing w:after="20"/>
            </w:pPr>
            <w:r>
              <w:rPr>
                <w:rFonts w:ascii="Arial" w:hAnsi="Arial"/>
                <w:color w:val="172019"/>
                <w:sz w:val="14"/>
              </w:rPr>
              <w:t>Research quality</w:t>
            </w:r>
          </w:p>
        </w:tc>
        <w:tc>
          <w:tcPr>
            <w:tcW w:type="dxa" w:w="4392"/>
            <w:vAlign w:val="top"/>
          </w:tcPr>
          <w:p>
            <w:pPr>
              <w:spacing w:after="20"/>
            </w:pPr>
            <w:r>
              <w:rPr>
                <w:rFonts w:ascii="Arial" w:hAnsi="Arial"/>
                <w:color w:val="172019"/>
                <w:sz w:val="14"/>
              </w:rPr>
              <w:t>Make customer, competitor, and market outputs deeply sourced and mutually dependent.</w:t>
            </w:r>
          </w:p>
        </w:tc>
        <w:tc>
          <w:tcPr>
            <w:tcW w:type="dxa" w:w="2232"/>
            <w:vAlign w:val="top"/>
          </w:tcPr>
          <w:p>
            <w:pPr>
              <w:spacing w:after="20"/>
            </w:pPr>
            <w:r>
              <w:rPr>
                <w:rFonts w:ascii="Arial" w:hAnsi="Arial"/>
                <w:color w:val="172019"/>
                <w:sz w:val="14"/>
              </w:rPr>
              <w:t>Specialist contracts and evidence audit</w:t>
            </w:r>
          </w:p>
        </w:tc>
        <w:tc>
          <w:tcPr>
            <w:tcW w:type="dxa" w:w="1944"/>
            <w:vAlign w:val="top"/>
          </w:tcPr>
          <w:p>
            <w:pPr>
              <w:spacing w:after="20"/>
            </w:pPr>
            <w:r>
              <w:rPr>
                <w:rFonts w:ascii="Arial" w:hAnsi="Arial"/>
                <w:color w:val="172019"/>
                <w:sz w:val="14"/>
              </w:rPr>
              <w:t>Competitor matrix and WTP limits strengthened</w:t>
            </w:r>
          </w:p>
        </w:tc>
      </w:tr>
      <w:tr>
        <w:tc>
          <w:tcPr>
            <w:tcW w:type="dxa" w:w="1224"/>
            <w:shd w:fill="F6F7F5"/>
            <w:vAlign w:val="top"/>
          </w:tcPr>
          <w:p>
            <w:pPr>
              <w:spacing w:after="20"/>
            </w:pPr>
            <w:r>
              <w:rPr>
                <w:rFonts w:ascii="Arial" w:hAnsi="Arial"/>
                <w:color w:val="172019"/>
                <w:sz w:val="14"/>
              </w:rPr>
              <w:t>State and memory</w:t>
            </w:r>
          </w:p>
        </w:tc>
        <w:tc>
          <w:tcPr>
            <w:tcW w:type="dxa" w:w="4392"/>
            <w:shd w:fill="F6F7F5"/>
            <w:vAlign w:val="top"/>
          </w:tcPr>
          <w:p>
            <w:pPr>
              <w:spacing w:after="20"/>
            </w:pPr>
            <w:r>
              <w:rPr>
                <w:rFonts w:ascii="Arial" w:hAnsi="Arial"/>
                <w:color w:val="172019"/>
                <w:sz w:val="14"/>
              </w:rPr>
              <w:t>Decide what is remembered, for how long, and where; include versions and corrections.</w:t>
            </w:r>
          </w:p>
        </w:tc>
        <w:tc>
          <w:tcPr>
            <w:tcW w:type="dxa" w:w="2232"/>
            <w:shd w:fill="F6F7F5"/>
            <w:vAlign w:val="top"/>
          </w:tcPr>
          <w:p>
            <w:pPr>
              <w:spacing w:after="20"/>
            </w:pPr>
            <w:r>
              <w:rPr>
                <w:rFonts w:ascii="Arial" w:hAnsi="Arial"/>
                <w:color w:val="172019"/>
                <w:sz w:val="14"/>
              </w:rPr>
              <w:t>Supabase/Pinecone/Mem0 boundaries</w:t>
            </w:r>
          </w:p>
        </w:tc>
        <w:tc>
          <w:tcPr>
            <w:tcW w:type="dxa" w:w="1944"/>
            <w:shd w:fill="F6F7F5"/>
            <w:vAlign w:val="top"/>
          </w:tcPr>
          <w:p>
            <w:pPr>
              <w:spacing w:after="20"/>
            </w:pPr>
            <w:r>
              <w:rPr>
                <w:rFonts w:ascii="Arial" w:hAnsi="Arial"/>
                <w:color w:val="172019"/>
                <w:sz w:val="14"/>
              </w:rPr>
              <w:t>Raw transcripts and chain-of-thought excluded</w:t>
            </w:r>
          </w:p>
        </w:tc>
      </w:tr>
      <w:tr>
        <w:tc>
          <w:tcPr>
            <w:tcW w:type="dxa" w:w="1224"/>
            <w:vAlign w:val="top"/>
          </w:tcPr>
          <w:p>
            <w:pPr>
              <w:spacing w:after="20"/>
            </w:pPr>
            <w:r>
              <w:rPr>
                <w:rFonts w:ascii="Arial" w:hAnsi="Arial"/>
                <w:color w:val="172019"/>
                <w:sz w:val="14"/>
              </w:rPr>
              <w:t>Failure handling</w:t>
            </w:r>
          </w:p>
        </w:tc>
        <w:tc>
          <w:tcPr>
            <w:tcW w:type="dxa" w:w="4392"/>
            <w:vAlign w:val="top"/>
          </w:tcPr>
          <w:p>
            <w:pPr>
              <w:spacing w:after="20"/>
            </w:pPr>
            <w:r>
              <w:rPr>
                <w:rFonts w:ascii="Arial" w:hAnsi="Arial"/>
                <w:color w:val="172019"/>
                <w:sz w:val="14"/>
              </w:rPr>
              <w:t>Handle empty tools, malformed outputs, contradictions, retries, and stale human decisions.</w:t>
            </w:r>
          </w:p>
        </w:tc>
        <w:tc>
          <w:tcPr>
            <w:tcW w:type="dxa" w:w="2232"/>
            <w:vAlign w:val="top"/>
          </w:tcPr>
          <w:p>
            <w:pPr>
              <w:spacing w:after="20"/>
            </w:pPr>
            <w:r>
              <w:rPr>
                <w:rFonts w:ascii="Arial" w:hAnsi="Arial"/>
                <w:color w:val="172019"/>
                <w:sz w:val="14"/>
              </w:rPr>
              <w:t>Resilience routes, BP-90, eval fixtures</w:t>
            </w:r>
          </w:p>
        </w:tc>
        <w:tc>
          <w:tcPr>
            <w:tcW w:type="dxa" w:w="1944"/>
            <w:vAlign w:val="top"/>
          </w:tcPr>
          <w:p>
            <w:pPr>
              <w:spacing w:after="20"/>
            </w:pPr>
            <w:r>
              <w:rPr>
                <w:rFonts w:ascii="Arial" w:hAnsi="Arial"/>
                <w:color w:val="172019"/>
                <w:sz w:val="14"/>
              </w:rPr>
              <w:t>Fail-closed outcomes required</w:t>
            </w:r>
          </w:p>
        </w:tc>
      </w:tr>
      <w:tr>
        <w:tc>
          <w:tcPr>
            <w:tcW w:type="dxa" w:w="1224"/>
            <w:shd w:fill="F6F7F5"/>
            <w:vAlign w:val="top"/>
          </w:tcPr>
          <w:p>
            <w:pPr>
              <w:spacing w:after="20"/>
            </w:pPr>
            <w:r>
              <w:rPr>
                <w:rFonts w:ascii="Arial" w:hAnsi="Arial"/>
                <w:color w:val="172019"/>
                <w:sz w:val="14"/>
              </w:rPr>
              <w:t>UI</w:t>
            </w:r>
          </w:p>
        </w:tc>
        <w:tc>
          <w:tcPr>
            <w:tcW w:type="dxa" w:w="4392"/>
            <w:shd w:fill="F6F7F5"/>
            <w:vAlign w:val="top"/>
          </w:tcPr>
          <w:p>
            <w:pPr>
              <w:spacing w:after="20"/>
            </w:pPr>
            <w:r>
              <w:rPr>
                <w:rFonts w:ascii="Arial" w:hAnsi="Arial"/>
                <w:color w:val="172019"/>
                <w:sz w:val="14"/>
              </w:rPr>
              <w:t>Create a Codex-inspired three-pane workspace with clear KPIs, section states, actions, chat, and Blueprint map.</w:t>
            </w:r>
          </w:p>
        </w:tc>
        <w:tc>
          <w:tcPr>
            <w:tcW w:type="dxa" w:w="2232"/>
            <w:shd w:fill="F6F7F5"/>
            <w:vAlign w:val="top"/>
          </w:tcPr>
          <w:p>
            <w:pPr>
              <w:spacing w:after="20"/>
            </w:pPr>
            <w:r>
              <w:rPr>
                <w:rFonts w:ascii="Arial" w:hAnsi="Arial"/>
                <w:color w:val="172019"/>
                <w:sz w:val="14"/>
              </w:rPr>
              <w:t>Streamlit workspace and dedicated views</w:t>
            </w:r>
          </w:p>
        </w:tc>
        <w:tc>
          <w:tcPr>
            <w:tcW w:type="dxa" w:w="1944"/>
            <w:shd w:fill="F6F7F5"/>
            <w:vAlign w:val="top"/>
          </w:tcPr>
          <w:p>
            <w:pPr>
              <w:spacing w:after="20"/>
            </w:pPr>
            <w:r>
              <w:rPr>
                <w:rFonts w:ascii="Arial" w:hAnsi="Arial"/>
                <w:color w:val="172019"/>
                <w:sz w:val="14"/>
              </w:rPr>
              <w:t>Native typography and restrained state color</w:t>
            </w:r>
          </w:p>
        </w:tc>
      </w:tr>
      <w:tr>
        <w:tc>
          <w:tcPr>
            <w:tcW w:type="dxa" w:w="1224"/>
            <w:vAlign w:val="top"/>
          </w:tcPr>
          <w:p>
            <w:pPr>
              <w:spacing w:after="20"/>
            </w:pPr>
            <w:r>
              <w:rPr>
                <w:rFonts w:ascii="Arial" w:hAnsi="Arial"/>
                <w:color w:val="172019"/>
                <w:sz w:val="14"/>
              </w:rPr>
              <w:t>Evaluation</w:t>
            </w:r>
          </w:p>
        </w:tc>
        <w:tc>
          <w:tcPr>
            <w:tcW w:type="dxa" w:w="4392"/>
            <w:vAlign w:val="top"/>
          </w:tcPr>
          <w:p>
            <w:pPr>
              <w:spacing w:after="20"/>
            </w:pPr>
            <w:r>
              <w:rPr>
                <w:rFonts w:ascii="Arial" w:hAnsi="Arial"/>
                <w:color w:val="172019"/>
                <w:sz w:val="14"/>
              </w:rPr>
              <w:t>Cross-check the entire handout and prove routing, HITL, memory, grounding, and errors.</w:t>
            </w:r>
          </w:p>
        </w:tc>
        <w:tc>
          <w:tcPr>
            <w:tcW w:type="dxa" w:w="2232"/>
            <w:vAlign w:val="top"/>
          </w:tcPr>
          <w:p>
            <w:pPr>
              <w:spacing w:after="20"/>
            </w:pPr>
            <w:r>
              <w:rPr>
                <w:rFonts w:ascii="Arial" w:hAnsi="Arial"/>
                <w:color w:val="172019"/>
                <w:sz w:val="14"/>
              </w:rPr>
              <w:t>79-case evaluator and traceability matrix</w:t>
            </w:r>
          </w:p>
        </w:tc>
        <w:tc>
          <w:tcPr>
            <w:tcW w:type="dxa" w:w="1944"/>
            <w:vAlign w:val="top"/>
          </w:tcPr>
          <w:p>
            <w:pPr>
              <w:spacing w:after="20"/>
            </w:pPr>
            <w:r>
              <w:rPr>
                <w:rFonts w:ascii="Arial" w:hAnsi="Arial"/>
                <w:color w:val="172019"/>
                <w:sz w:val="14"/>
              </w:rPr>
              <w:t>Remaining live acceptance called out honestly</w:t>
            </w:r>
          </w:p>
        </w:tc>
      </w:tr>
    </w:tbl>
    <w:p>
      <w:pPr>
        <w:spacing w:after="0"/>
      </w:pPr>
    </w:p>
    <w:p>
      <w:pPr>
        <w:pStyle w:val="Heading2"/>
        <w:keepNext/>
      </w:pPr>
      <w:r>
        <w:t>Key iterations and what they taught us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12"/>
            <w:shd w:fill="173C2A"/>
            <w:vAlign w:val="center"/>
          </w:tcPr>
          <w:p>
            <w:pPr>
              <w:spacing w:after="0"/>
            </w:pPr>
            <w:r>
              <w:rPr>
                <w:rFonts w:ascii="Arial" w:hAnsi="Arial"/>
                <w:b/>
                <w:color w:val="FFFFFF"/>
                <w:sz w:val="14"/>
              </w:rPr>
              <w:t>Iteration</w:t>
            </w:r>
          </w:p>
        </w:tc>
        <w:tc>
          <w:tcPr>
            <w:tcW w:type="dxa" w:w="2520"/>
            <w:shd w:fill="173C2A"/>
            <w:vAlign w:val="center"/>
          </w:tcPr>
          <w:p>
            <w:pPr>
              <w:spacing w:after="0"/>
            </w:pPr>
            <w:r>
              <w:rPr>
                <w:rFonts w:ascii="Arial" w:hAnsi="Arial"/>
                <w:b/>
                <w:color w:val="FFFFFF"/>
                <w:sz w:val="14"/>
              </w:rPr>
              <w:t>Problem found</w:t>
            </w:r>
          </w:p>
        </w:tc>
        <w:tc>
          <w:tcPr>
            <w:tcW w:type="dxa" w:w="3384"/>
            <w:shd w:fill="173C2A"/>
            <w:vAlign w:val="center"/>
          </w:tcPr>
          <w:p>
            <w:pPr>
              <w:spacing w:after="0"/>
            </w:pPr>
            <w:r>
              <w:rPr>
                <w:rFonts w:ascii="Arial" w:hAnsi="Arial"/>
                <w:b/>
                <w:color w:val="FFFFFF"/>
                <w:sz w:val="14"/>
              </w:rPr>
              <w:t>Change</w:t>
            </w:r>
          </w:p>
        </w:tc>
        <w:tc>
          <w:tcPr>
            <w:tcW w:type="dxa" w:w="2376"/>
            <w:shd w:fill="173C2A"/>
            <w:vAlign w:val="center"/>
          </w:tcPr>
          <w:p>
            <w:pPr>
              <w:spacing w:after="0"/>
            </w:pPr>
            <w:r>
              <w:rPr>
                <w:rFonts w:ascii="Arial" w:hAnsi="Arial"/>
                <w:b/>
                <w:color w:val="FFFFFF"/>
                <w:sz w:val="14"/>
              </w:rPr>
              <w:t>Learning</w:t>
            </w:r>
          </w:p>
        </w:tc>
      </w:tr>
      <w:tr>
        <w:tc>
          <w:tcPr>
            <w:tcW w:type="dxa" w:w="1512"/>
            <w:vAlign w:val="top"/>
          </w:tcPr>
          <w:p>
            <w:pPr>
              <w:spacing w:after="20"/>
            </w:pPr>
            <w:r>
              <w:rPr>
                <w:rFonts w:ascii="Arial" w:hAnsi="Arial"/>
                <w:color w:val="172019"/>
                <w:sz w:val="14"/>
              </w:rPr>
              <w:t>Scope reset</w:t>
            </w:r>
          </w:p>
        </w:tc>
        <w:tc>
          <w:tcPr>
            <w:tcW w:type="dxa" w:w="2520"/>
            <w:vAlign w:val="top"/>
          </w:tcPr>
          <w:p>
            <w:pPr>
              <w:spacing w:after="20"/>
            </w:pPr>
            <w:r>
              <w:rPr>
                <w:rFonts w:ascii="Arial" w:hAnsi="Arial"/>
                <w:color w:val="172019"/>
                <w:sz w:val="14"/>
              </w:rPr>
              <w:t>Initial idea was too broad</w:t>
            </w:r>
          </w:p>
        </w:tc>
        <w:tc>
          <w:tcPr>
            <w:tcW w:type="dxa" w:w="3384"/>
            <w:vAlign w:val="top"/>
          </w:tcPr>
          <w:p>
            <w:pPr>
              <w:spacing w:after="20"/>
            </w:pPr>
            <w:r>
              <w:rPr>
                <w:rFonts w:ascii="Arial" w:hAnsi="Arial"/>
                <w:color w:val="172019"/>
                <w:sz w:val="14"/>
              </w:rPr>
              <w:t>Focused on founders with an existing idea and three research lanes</w:t>
            </w:r>
          </w:p>
        </w:tc>
        <w:tc>
          <w:tcPr>
            <w:tcW w:type="dxa" w:w="2376"/>
            <w:vAlign w:val="top"/>
          </w:tcPr>
          <w:p>
            <w:pPr>
              <w:spacing w:after="20"/>
            </w:pPr>
            <w:r>
              <w:rPr>
                <w:rFonts w:ascii="Arial" w:hAnsi="Arial"/>
                <w:color w:val="172019"/>
                <w:sz w:val="14"/>
              </w:rPr>
              <w:t>Depth beats feature count</w:t>
            </w:r>
          </w:p>
        </w:tc>
      </w:tr>
      <w:tr>
        <w:tc>
          <w:tcPr>
            <w:tcW w:type="dxa" w:w="1512"/>
            <w:shd w:fill="F6F7F5"/>
            <w:vAlign w:val="top"/>
          </w:tcPr>
          <w:p>
            <w:pPr>
              <w:spacing w:after="20"/>
            </w:pPr>
            <w:r>
              <w:rPr>
                <w:rFonts w:ascii="Arial" w:hAnsi="Arial"/>
                <w:color w:val="172019"/>
                <w:sz w:val="14"/>
              </w:rPr>
              <w:t>Static to dynamic</w:t>
            </w:r>
          </w:p>
        </w:tc>
        <w:tc>
          <w:tcPr>
            <w:tcW w:type="dxa" w:w="2520"/>
            <w:shd w:fill="F6F7F5"/>
            <w:vAlign w:val="top"/>
          </w:tcPr>
          <w:p>
            <w:pPr>
              <w:spacing w:after="20"/>
            </w:pPr>
            <w:r>
              <w:rPr>
                <w:rFonts w:ascii="Arial" w:hAnsi="Arial"/>
                <w:color w:val="172019"/>
                <w:sz w:val="14"/>
              </w:rPr>
              <w:t>A→B→C flow did not demonstrate agency</w:t>
            </w:r>
          </w:p>
        </w:tc>
        <w:tc>
          <w:tcPr>
            <w:tcW w:type="dxa" w:w="3384"/>
            <w:shd w:fill="F6F7F5"/>
            <w:vAlign w:val="top"/>
          </w:tcPr>
          <w:p>
            <w:pPr>
              <w:spacing w:after="20"/>
            </w:pPr>
            <w:r>
              <w:rPr>
                <w:rFonts w:ascii="Arial" w:hAnsi="Arial"/>
                <w:color w:val="172019"/>
                <w:sz w:val="14"/>
              </w:rPr>
              <w:t>Added state-driven planning, task eligibility, re-evaluation, branches, and loops</w:t>
            </w:r>
          </w:p>
        </w:tc>
        <w:tc>
          <w:tcPr>
            <w:tcW w:type="dxa" w:w="2376"/>
            <w:shd w:fill="F6F7F5"/>
            <w:vAlign w:val="top"/>
          </w:tcPr>
          <w:p>
            <w:pPr>
              <w:spacing w:after="20"/>
            </w:pPr>
            <w:r>
              <w:rPr>
                <w:rFonts w:ascii="Arial" w:hAnsi="Arial"/>
                <w:color w:val="172019"/>
                <w:sz w:val="14"/>
              </w:rPr>
              <w:t>Agentic quality is control under uncertainty</w:t>
            </w:r>
          </w:p>
        </w:tc>
      </w:tr>
      <w:tr>
        <w:tc>
          <w:tcPr>
            <w:tcW w:type="dxa" w:w="1512"/>
            <w:vAlign w:val="top"/>
          </w:tcPr>
          <w:p>
            <w:pPr>
              <w:spacing w:after="20"/>
            </w:pPr>
            <w:r>
              <w:rPr>
                <w:rFonts w:ascii="Arial" w:hAnsi="Arial"/>
                <w:color w:val="172019"/>
                <w:sz w:val="14"/>
              </w:rPr>
              <w:t>99/100 verdict defect</w:t>
            </w:r>
          </w:p>
        </w:tc>
        <w:tc>
          <w:tcPr>
            <w:tcW w:type="dxa" w:w="2520"/>
            <w:vAlign w:val="top"/>
          </w:tcPr>
          <w:p>
            <w:pPr>
              <w:spacing w:after="20"/>
            </w:pPr>
            <w:r>
              <w:rPr>
                <w:rFonts w:ascii="Arial" w:hAnsi="Arial"/>
                <w:color w:val="172019"/>
                <w:sz w:val="14"/>
              </w:rPr>
              <w:t>Evidence completeness looked like demand proof</w:t>
            </w:r>
          </w:p>
        </w:tc>
        <w:tc>
          <w:tcPr>
            <w:tcW w:type="dxa" w:w="3384"/>
            <w:vAlign w:val="top"/>
          </w:tcPr>
          <w:p>
            <w:pPr>
              <w:spacing w:after="20"/>
            </w:pPr>
            <w:r>
              <w:rPr>
                <w:rFonts w:ascii="Arial" w:hAnsi="Arial"/>
                <w:color w:val="172019"/>
                <w:sz w:val="14"/>
              </w:rPr>
              <w:t>Added commercial ceiling without behavioral evidence</w:t>
            </w:r>
          </w:p>
        </w:tc>
        <w:tc>
          <w:tcPr>
            <w:tcW w:type="dxa" w:w="2376"/>
            <w:vAlign w:val="top"/>
          </w:tcPr>
          <w:p>
            <w:pPr>
              <w:spacing w:after="20"/>
            </w:pPr>
            <w:r>
              <w:rPr>
                <w:rFonts w:ascii="Arial" w:hAnsi="Arial"/>
                <w:color w:val="172019"/>
                <w:sz w:val="14"/>
              </w:rPr>
              <w:t>A polished score can be more dangerous than an unknown</w:t>
            </w:r>
          </w:p>
        </w:tc>
      </w:tr>
      <w:tr>
        <w:tc>
          <w:tcPr>
            <w:tcW w:type="dxa" w:w="1512"/>
            <w:shd w:fill="F6F7F5"/>
            <w:vAlign w:val="top"/>
          </w:tcPr>
          <w:p>
            <w:pPr>
              <w:spacing w:after="20"/>
            </w:pPr>
            <w:r>
              <w:rPr>
                <w:rFonts w:ascii="Arial" w:hAnsi="Arial"/>
                <w:color w:val="172019"/>
                <w:sz w:val="14"/>
              </w:rPr>
              <w:t>Parallel scheduler defect</w:t>
            </w:r>
          </w:p>
        </w:tc>
        <w:tc>
          <w:tcPr>
            <w:tcW w:type="dxa" w:w="2520"/>
            <w:shd w:fill="F6F7F5"/>
            <w:vAlign w:val="top"/>
          </w:tcPr>
          <w:p>
            <w:pPr>
              <w:spacing w:after="20"/>
            </w:pPr>
            <w:r>
              <w:rPr>
                <w:rFonts w:ascii="Arial" w:hAnsi="Arial"/>
                <w:color w:val="172019"/>
                <w:sz w:val="14"/>
              </w:rPr>
              <w:t>Sixteen modules crossed an eight-module boundary</w:t>
            </w:r>
          </w:p>
        </w:tc>
        <w:tc>
          <w:tcPr>
            <w:tcW w:type="dxa" w:w="3384"/>
            <w:shd w:fill="F6F7F5"/>
            <w:vAlign w:val="top"/>
          </w:tcPr>
          <w:p>
            <w:pPr>
              <w:spacing w:after="20"/>
            </w:pPr>
            <w:r>
              <w:rPr>
                <w:rFonts w:ascii="Arial" w:hAnsi="Arial"/>
                <w:color w:val="172019"/>
                <w:sz w:val="14"/>
              </w:rPr>
              <w:t>Stage-scoped planner: 7 Discover, 6 Prove &amp; Design, 3 Action modules</w:t>
            </w:r>
          </w:p>
        </w:tc>
        <w:tc>
          <w:tcPr>
            <w:tcW w:type="dxa" w:w="2376"/>
            <w:shd w:fill="F6F7F5"/>
            <w:vAlign w:val="top"/>
          </w:tcPr>
          <w:p>
            <w:pPr>
              <w:spacing w:after="20"/>
            </w:pPr>
            <w:r>
              <w:rPr>
                <w:rFonts w:ascii="Arial" w:hAnsi="Arial"/>
                <w:color w:val="172019"/>
                <w:sz w:val="14"/>
              </w:rPr>
              <w:t>Budget and stage constraints must agree</w:t>
            </w:r>
          </w:p>
        </w:tc>
      </w:tr>
      <w:tr>
        <w:tc>
          <w:tcPr>
            <w:tcW w:type="dxa" w:w="1512"/>
            <w:vAlign w:val="top"/>
          </w:tcPr>
          <w:p>
            <w:pPr>
              <w:spacing w:after="20"/>
            </w:pPr>
            <w:r>
              <w:rPr>
                <w:rFonts w:ascii="Arial" w:hAnsi="Arial"/>
                <w:color w:val="172019"/>
                <w:sz w:val="14"/>
              </w:rPr>
              <w:t>Memory overreach</w:t>
            </w:r>
          </w:p>
        </w:tc>
        <w:tc>
          <w:tcPr>
            <w:tcW w:type="dxa" w:w="2520"/>
            <w:vAlign w:val="top"/>
          </w:tcPr>
          <w:p>
            <w:pPr>
              <w:spacing w:after="20"/>
            </w:pPr>
            <w:r>
              <w:rPr>
                <w:rFonts w:ascii="Arial" w:hAnsi="Arial"/>
                <w:color w:val="172019"/>
                <w:sz w:val="14"/>
              </w:rPr>
              <w:t>One memory system was being asked to do everything</w:t>
            </w:r>
          </w:p>
        </w:tc>
        <w:tc>
          <w:tcPr>
            <w:tcW w:type="dxa" w:w="3384"/>
            <w:vAlign w:val="top"/>
          </w:tcPr>
          <w:p>
            <w:pPr>
              <w:spacing w:after="20"/>
            </w:pPr>
            <w:r>
              <w:rPr>
                <w:rFonts w:ascii="Arial" w:hAnsi="Arial"/>
                <w:color w:val="172019"/>
                <w:sz w:val="14"/>
              </w:rPr>
              <w:t>Supabase canonical + bounded Pinecone/Mem0 projections</w:t>
            </w:r>
          </w:p>
        </w:tc>
        <w:tc>
          <w:tcPr>
            <w:tcW w:type="dxa" w:w="2376"/>
            <w:vAlign w:val="top"/>
          </w:tcPr>
          <w:p>
            <w:pPr>
              <w:spacing w:after="20"/>
            </w:pPr>
            <w:r>
              <w:rPr>
                <w:rFonts w:ascii="Arial" w:hAnsi="Arial"/>
                <w:color w:val="172019"/>
                <w:sz w:val="14"/>
              </w:rPr>
              <w:t>Retrieval stores are not sources of truth</w:t>
            </w:r>
          </w:p>
        </w:tc>
      </w:tr>
      <w:tr>
        <w:tc>
          <w:tcPr>
            <w:tcW w:type="dxa" w:w="1512"/>
            <w:shd w:fill="F6F7F5"/>
            <w:vAlign w:val="top"/>
          </w:tcPr>
          <w:p>
            <w:pPr>
              <w:spacing w:after="20"/>
            </w:pPr>
            <w:r>
              <w:rPr>
                <w:rFonts w:ascii="Arial" w:hAnsi="Arial"/>
                <w:color w:val="172019"/>
                <w:sz w:val="14"/>
              </w:rPr>
              <w:t>UI loading defect</w:t>
            </w:r>
          </w:p>
        </w:tc>
        <w:tc>
          <w:tcPr>
            <w:tcW w:type="dxa" w:w="2520"/>
            <w:shd w:fill="F6F7F5"/>
            <w:vAlign w:val="top"/>
          </w:tcPr>
          <w:p>
            <w:pPr>
              <w:spacing w:after="20"/>
            </w:pPr>
            <w:r>
              <w:rPr>
                <w:rFonts w:ascii="Arial" w:hAnsi="Arial"/>
                <w:color w:val="172019"/>
                <w:sz w:val="14"/>
              </w:rPr>
              <w:t>Whole screen faded for one running section</w:t>
            </w:r>
          </w:p>
        </w:tc>
        <w:tc>
          <w:tcPr>
            <w:tcW w:type="dxa" w:w="3384"/>
            <w:shd w:fill="F6F7F5"/>
            <w:vAlign w:val="top"/>
          </w:tcPr>
          <w:p>
            <w:pPr>
              <w:spacing w:after="20"/>
            </w:pPr>
            <w:r>
              <w:rPr>
                <w:rFonts w:ascii="Arial" w:hAnsi="Arial"/>
                <w:color w:val="172019"/>
                <w:sz w:val="14"/>
              </w:rPr>
              <w:t>Localized section states and auto-select first running task</w:t>
            </w:r>
          </w:p>
        </w:tc>
        <w:tc>
          <w:tcPr>
            <w:tcW w:type="dxa" w:w="2376"/>
            <w:shd w:fill="F6F7F5"/>
            <w:vAlign w:val="top"/>
          </w:tcPr>
          <w:p>
            <w:pPr>
              <w:spacing w:after="20"/>
            </w:pPr>
            <w:r>
              <w:rPr>
                <w:rFonts w:ascii="Arial" w:hAnsi="Arial"/>
                <w:color w:val="172019"/>
                <w:sz w:val="14"/>
              </w:rPr>
              <w:t>System state must remain inspectable while work continues</w:t>
            </w:r>
          </w:p>
        </w:tc>
      </w:tr>
      <w:tr>
        <w:tc>
          <w:tcPr>
            <w:tcW w:type="dxa" w:w="1512"/>
            <w:vAlign w:val="top"/>
          </w:tcPr>
          <w:p>
            <w:pPr>
              <w:spacing w:after="20"/>
            </w:pPr>
            <w:r>
              <w:rPr>
                <w:rFonts w:ascii="Arial" w:hAnsi="Arial"/>
                <w:color w:val="172019"/>
                <w:sz w:val="14"/>
              </w:rPr>
              <w:t>Chat weakness</w:t>
            </w:r>
          </w:p>
        </w:tc>
        <w:tc>
          <w:tcPr>
            <w:tcW w:type="dxa" w:w="2520"/>
            <w:vAlign w:val="top"/>
          </w:tcPr>
          <w:p>
            <w:pPr>
              <w:spacing w:after="20"/>
            </w:pPr>
            <w:r>
              <w:rPr>
                <w:rFonts w:ascii="Arial" w:hAnsi="Arial"/>
                <w:color w:val="172019"/>
                <w:sz w:val="14"/>
              </w:rPr>
              <w:t>Generic fallback could not answer simple section questions</w:t>
            </w:r>
          </w:p>
        </w:tc>
        <w:tc>
          <w:tcPr>
            <w:tcW w:type="dxa" w:w="3384"/>
            <w:vAlign w:val="top"/>
          </w:tcPr>
          <w:p>
            <w:pPr>
              <w:spacing w:after="20"/>
            </w:pPr>
            <w:r>
              <w:rPr>
                <w:rFonts w:ascii="Arial" w:hAnsi="Arial"/>
                <w:color w:val="172019"/>
                <w:sz w:val="14"/>
              </w:rPr>
              <w:t>Grounded workflow plus explicit plain-language local fallback</w:t>
            </w:r>
          </w:p>
        </w:tc>
        <w:tc>
          <w:tcPr>
            <w:tcW w:type="dxa" w:w="2376"/>
            <w:vAlign w:val="top"/>
          </w:tcPr>
          <w:p>
            <w:pPr>
              <w:spacing w:after="20"/>
            </w:pPr>
            <w:r>
              <w:rPr>
                <w:rFonts w:ascii="Arial" w:hAnsi="Arial"/>
                <w:color w:val="172019"/>
                <w:sz w:val="14"/>
              </w:rPr>
              <w:t>Useful refusal is better than confident emptiness</w:t>
            </w:r>
          </w:p>
        </w:tc>
      </w:tr>
      <w:tr>
        <w:tc>
          <w:tcPr>
            <w:tcW w:type="dxa" w:w="1512"/>
            <w:shd w:fill="F6F7F5"/>
            <w:vAlign w:val="top"/>
          </w:tcPr>
          <w:p>
            <w:pPr>
              <w:spacing w:after="20"/>
            </w:pPr>
            <w:r>
              <w:rPr>
                <w:rFonts w:ascii="Arial" w:hAnsi="Arial"/>
                <w:color w:val="172019"/>
                <w:sz w:val="14"/>
              </w:rPr>
              <w:t>Typography drift</w:t>
            </w:r>
          </w:p>
        </w:tc>
        <w:tc>
          <w:tcPr>
            <w:tcW w:type="dxa" w:w="2520"/>
            <w:shd w:fill="F6F7F5"/>
            <w:vAlign w:val="top"/>
          </w:tcPr>
          <w:p>
            <w:pPr>
              <w:spacing w:after="20"/>
            </w:pPr>
            <w:r>
              <w:rPr>
                <w:rFonts w:ascii="Arial" w:hAnsi="Arial"/>
                <w:color w:val="172019"/>
                <w:sz w:val="14"/>
              </w:rPr>
              <w:t>Decorative fonts reduced clarity</w:t>
            </w:r>
          </w:p>
        </w:tc>
        <w:tc>
          <w:tcPr>
            <w:tcW w:type="dxa" w:w="3384"/>
            <w:shd w:fill="F6F7F5"/>
            <w:vAlign w:val="top"/>
          </w:tcPr>
          <w:p>
            <w:pPr>
              <w:spacing w:after="20"/>
            </w:pPr>
            <w:r>
              <w:rPr>
                <w:rFonts w:ascii="Arial" w:hAnsi="Arial"/>
                <w:color w:val="172019"/>
                <w:sz w:val="14"/>
              </w:rPr>
              <w:t>Native Arial/Segoe UI KPI and research typography</w:t>
            </w:r>
          </w:p>
        </w:tc>
        <w:tc>
          <w:tcPr>
            <w:tcW w:type="dxa" w:w="2376"/>
            <w:shd w:fill="F6F7F5"/>
            <w:vAlign w:val="top"/>
          </w:tcPr>
          <w:p>
            <w:pPr>
              <w:spacing w:after="20"/>
            </w:pPr>
            <w:r>
              <w:rPr>
                <w:rFonts w:ascii="Arial" w:hAnsi="Arial"/>
                <w:color w:val="172019"/>
                <w:sz w:val="14"/>
              </w:rPr>
              <w:t>Visual novelty should not weaken information hierarchy</w:t>
            </w:r>
          </w:p>
        </w:tc>
      </w:tr>
    </w:tbl>
    <w:p>
      <w:pPr>
        <w:spacing w:after="0"/>
      </w:pPr>
    </w:p>
    <w:p>
      <w:r>
        <w:br w:type="page"/>
      </w:r>
    </w:p>
    <w:p>
      <w:pPr>
        <w:pStyle w:val="BlueprintKicker"/>
        <w:keepNext/>
      </w:pPr>
      <w:r>
        <w:rPr>
          <w:rFonts w:ascii="Arial" w:hAnsi="Arial"/>
          <w:b w:val="0"/>
        </w:rPr>
        <w:t>16 / HONEST BOUNDARIES</w:t>
      </w:r>
    </w:p>
    <w:p>
      <w:pPr>
        <w:pStyle w:val="Heading1"/>
        <w:keepNext/>
      </w:pPr>
      <w:r>
        <w:t>Known limitations and roadmap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73C2A"/>
            <w:vAlign w:val="center"/>
          </w:tcPr>
          <w:p>
            <w:pPr>
              <w:spacing w:after="0"/>
            </w:pPr>
            <w:r>
              <w:rPr>
                <w:rFonts w:ascii="Arial" w:hAnsi="Arial"/>
                <w:b/>
                <w:color w:val="FFFFFF"/>
                <w:sz w:val="15"/>
              </w:rPr>
              <w:t>Current limitation</w:t>
            </w:r>
          </w:p>
        </w:tc>
        <w:tc>
          <w:tcPr>
            <w:tcW w:type="dxa" w:w="3168"/>
            <w:shd w:fill="173C2A"/>
            <w:vAlign w:val="center"/>
          </w:tcPr>
          <w:p>
            <w:pPr>
              <w:spacing w:after="0"/>
            </w:pPr>
            <w:r>
              <w:rPr>
                <w:rFonts w:ascii="Arial" w:hAnsi="Arial"/>
                <w:b/>
                <w:color w:val="FFFFFF"/>
                <w:sz w:val="15"/>
              </w:rPr>
              <w:t>Why it matters</w:t>
            </w:r>
          </w:p>
        </w:tc>
        <w:tc>
          <w:tcPr>
            <w:tcW w:type="dxa" w:w="3600"/>
            <w:shd w:fill="173C2A"/>
            <w:vAlign w:val="center"/>
          </w:tcPr>
          <w:p>
            <w:pPr>
              <w:spacing w:after="0"/>
            </w:pPr>
            <w:r>
              <w:rPr>
                <w:rFonts w:ascii="Arial" w:hAnsi="Arial"/>
                <w:b/>
                <w:color w:val="FFFFFF"/>
                <w:sz w:val="15"/>
              </w:rPr>
              <w:t>Next move</w:t>
            </w:r>
          </w:p>
        </w:tc>
      </w:tr>
      <w:tr>
        <w:tc>
          <w:tcPr>
            <w:tcW w:type="dxa" w:w="3024"/>
            <w:vAlign w:val="top"/>
          </w:tcPr>
          <w:p>
            <w:pPr>
              <w:spacing w:after="20"/>
            </w:pPr>
            <w:r>
              <w:rPr>
                <w:rFonts w:ascii="Arial" w:hAnsi="Arial"/>
                <w:color w:val="172019"/>
                <w:sz w:val="15"/>
              </w:rPr>
              <w:t>Streamlit Cloud cannot call localhost n8n</w:t>
            </w:r>
          </w:p>
        </w:tc>
        <w:tc>
          <w:tcPr>
            <w:tcW w:type="dxa" w:w="3168"/>
            <w:vAlign w:val="top"/>
          </w:tcPr>
          <w:p>
            <w:pPr>
              <w:spacing w:after="20"/>
            </w:pPr>
            <w:r>
              <w:rPr>
                <w:rFonts w:ascii="Arial" w:hAnsi="Arial"/>
                <w:color w:val="172019"/>
                <w:sz w:val="15"/>
              </w:rPr>
              <w:t>Public evaluators cannot complete the real workflow</w:t>
            </w:r>
          </w:p>
        </w:tc>
        <w:tc>
          <w:tcPr>
            <w:tcW w:type="dxa" w:w="3600"/>
            <w:vAlign w:val="top"/>
          </w:tcPr>
          <w:p>
            <w:pPr>
              <w:spacing w:after="20"/>
            </w:pPr>
            <w:r>
              <w:rPr>
                <w:rFonts w:ascii="Arial" w:hAnsi="Arial"/>
                <w:color w:val="172019"/>
                <w:sz w:val="15"/>
              </w:rPr>
              <w:t>Expose n8n through stable public HTTPS; set deployment secrets; run acceptance</w:t>
            </w:r>
          </w:p>
        </w:tc>
      </w:tr>
      <w:tr>
        <w:tc>
          <w:tcPr>
            <w:tcW w:type="dxa" w:w="3024"/>
            <w:shd w:fill="F6F7F5"/>
            <w:vAlign w:val="top"/>
          </w:tcPr>
          <w:p>
            <w:pPr>
              <w:spacing w:after="20"/>
            </w:pPr>
            <w:r>
              <w:rPr>
                <w:rFonts w:ascii="Arial" w:hAnsi="Arial"/>
                <w:color w:val="172019"/>
                <w:sz w:val="15"/>
              </w:rPr>
              <w:t>Full Gate 1→Gate 2→Stage 3 live path not yet recorded</w:t>
            </w:r>
          </w:p>
        </w:tc>
        <w:tc>
          <w:tcPr>
            <w:tcW w:type="dxa" w:w="3168"/>
            <w:shd w:fill="F6F7F5"/>
            <w:vAlign w:val="top"/>
          </w:tcPr>
          <w:p>
            <w:pPr>
              <w:spacing w:after="20"/>
            </w:pPr>
            <w:r>
              <w:rPr>
                <w:rFonts w:ascii="Arial" w:hAnsi="Arial"/>
                <w:color w:val="172019"/>
                <w:sz w:val="15"/>
              </w:rPr>
              <w:t>Backend contracts are stronger than end-product evidence</w:t>
            </w:r>
          </w:p>
        </w:tc>
        <w:tc>
          <w:tcPr>
            <w:tcW w:type="dxa" w:w="3600"/>
            <w:shd w:fill="F6F7F5"/>
            <w:vAlign w:val="top"/>
          </w:tcPr>
          <w:p>
            <w:pPr>
              <w:spacing w:after="20"/>
            </w:pPr>
            <w:r>
              <w:rPr>
                <w:rFonts w:ascii="Arial" w:hAnsi="Arial"/>
                <w:color w:val="172019"/>
                <w:sz w:val="15"/>
              </w:rPr>
              <w:t>Complete one full founder journey and preserve run IDs/screenshots</w:t>
            </w:r>
          </w:p>
        </w:tc>
      </w:tr>
      <w:tr>
        <w:tc>
          <w:tcPr>
            <w:tcW w:type="dxa" w:w="3024"/>
            <w:vAlign w:val="top"/>
          </w:tcPr>
          <w:p>
            <w:pPr>
              <w:spacing w:after="20"/>
            </w:pPr>
            <w:r>
              <w:rPr>
                <w:rFonts w:ascii="Arial" w:hAnsi="Arial"/>
                <w:color w:val="172019"/>
                <w:sz w:val="15"/>
              </w:rPr>
              <w:t>Direct-page verification is not universal</w:t>
            </w:r>
          </w:p>
        </w:tc>
        <w:tc>
          <w:tcPr>
            <w:tcW w:type="dxa" w:w="3168"/>
            <w:vAlign w:val="top"/>
          </w:tcPr>
          <w:p>
            <w:pPr>
              <w:spacing w:after="20"/>
            </w:pPr>
            <w:r>
              <w:rPr>
                <w:rFonts w:ascii="Arial" w:hAnsi="Arial"/>
                <w:color w:val="172019"/>
                <w:sz w:val="15"/>
              </w:rPr>
              <w:t>Search excerpts may omit context for price/TAM/WTP</w:t>
            </w:r>
          </w:p>
        </w:tc>
        <w:tc>
          <w:tcPr>
            <w:tcW w:type="dxa" w:w="3600"/>
            <w:vAlign w:val="top"/>
          </w:tcPr>
          <w:p>
            <w:pPr>
              <w:spacing w:after="20"/>
            </w:pPr>
            <w:r>
              <w:rPr>
                <w:rFonts w:ascii="Arial" w:hAnsi="Arial"/>
                <w:color w:val="172019"/>
                <w:sz w:val="15"/>
              </w:rPr>
              <w:t>Add source-page fetch/verification before strong claims</w:t>
            </w:r>
          </w:p>
        </w:tc>
      </w:tr>
      <w:tr>
        <w:tc>
          <w:tcPr>
            <w:tcW w:type="dxa" w:w="3024"/>
            <w:shd w:fill="F6F7F5"/>
            <w:vAlign w:val="top"/>
          </w:tcPr>
          <w:p>
            <w:pPr>
              <w:spacing w:after="20"/>
            </w:pPr>
            <w:r>
              <w:rPr>
                <w:rFonts w:ascii="Arial" w:hAnsi="Arial"/>
                <w:color w:val="172019"/>
                <w:sz w:val="15"/>
              </w:rPr>
              <w:t>Second-user denial not demonstrated in UI</w:t>
            </w:r>
          </w:p>
        </w:tc>
        <w:tc>
          <w:tcPr>
            <w:tcW w:type="dxa" w:w="3168"/>
            <w:shd w:fill="F6F7F5"/>
            <w:vAlign w:val="top"/>
          </w:tcPr>
          <w:p>
            <w:pPr>
              <w:spacing w:after="20"/>
            </w:pPr>
            <w:r>
              <w:rPr>
                <w:rFonts w:ascii="Arial" w:hAnsi="Arial"/>
                <w:color w:val="172019"/>
                <w:sz w:val="15"/>
              </w:rPr>
              <w:t>RLS exists but evaluator may want visible proof</w:t>
            </w:r>
          </w:p>
        </w:tc>
        <w:tc>
          <w:tcPr>
            <w:tcW w:type="dxa" w:w="3600"/>
            <w:shd w:fill="F6F7F5"/>
            <w:vAlign w:val="top"/>
          </w:tcPr>
          <w:p>
            <w:pPr>
              <w:spacing w:after="20"/>
            </w:pPr>
            <w:r>
              <w:rPr>
                <w:rFonts w:ascii="Arial" w:hAnsi="Arial"/>
                <w:color w:val="172019"/>
                <w:sz w:val="15"/>
              </w:rPr>
              <w:t>Run isolated browser acceptance with two anonymous users</w:t>
            </w:r>
          </w:p>
        </w:tc>
      </w:tr>
      <w:tr>
        <w:tc>
          <w:tcPr>
            <w:tcW w:type="dxa" w:w="3024"/>
            <w:vAlign w:val="top"/>
          </w:tcPr>
          <w:p>
            <w:pPr>
              <w:spacing w:after="20"/>
            </w:pPr>
            <w:r>
              <w:rPr>
                <w:rFonts w:ascii="Arial" w:hAnsi="Arial"/>
                <w:color w:val="172019"/>
                <w:sz w:val="15"/>
              </w:rPr>
              <w:t>Latency and cost fields not populated everywhere</w:t>
            </w:r>
          </w:p>
        </w:tc>
        <w:tc>
          <w:tcPr>
            <w:tcW w:type="dxa" w:w="3168"/>
            <w:vAlign w:val="top"/>
          </w:tcPr>
          <w:p>
            <w:pPr>
              <w:spacing w:after="20"/>
            </w:pPr>
            <w:r>
              <w:rPr>
                <w:rFonts w:ascii="Arial" w:hAnsi="Arial"/>
                <w:color w:val="172019"/>
                <w:sz w:val="15"/>
              </w:rPr>
              <w:t>Cannot yet prove the under-12-minute/cost target</w:t>
            </w:r>
          </w:p>
        </w:tc>
        <w:tc>
          <w:tcPr>
            <w:tcW w:type="dxa" w:w="3600"/>
            <w:vAlign w:val="top"/>
          </w:tcPr>
          <w:p>
            <w:pPr>
              <w:spacing w:after="20"/>
            </w:pPr>
            <w:r>
              <w:rPr>
                <w:rFonts w:ascii="Arial" w:hAnsi="Arial"/>
                <w:color w:val="172019"/>
                <w:sz w:val="15"/>
              </w:rPr>
              <w:t>Instrument every provider and model node</w:t>
            </w:r>
          </w:p>
        </w:tc>
      </w:tr>
      <w:tr>
        <w:tc>
          <w:tcPr>
            <w:tcW w:type="dxa" w:w="3024"/>
            <w:shd w:fill="F6F7F5"/>
            <w:vAlign w:val="top"/>
          </w:tcPr>
          <w:p>
            <w:pPr>
              <w:spacing w:after="20"/>
            </w:pPr>
            <w:r>
              <w:rPr>
                <w:rFonts w:ascii="Arial" w:hAnsi="Arial"/>
                <w:color w:val="172019"/>
                <w:sz w:val="15"/>
              </w:rPr>
              <w:t>Founder-facing memory controls are incomplete</w:t>
            </w:r>
          </w:p>
        </w:tc>
        <w:tc>
          <w:tcPr>
            <w:tcW w:type="dxa" w:w="3168"/>
            <w:shd w:fill="F6F7F5"/>
            <w:vAlign w:val="top"/>
          </w:tcPr>
          <w:p>
            <w:pPr>
              <w:spacing w:after="20"/>
            </w:pPr>
            <w:r>
              <w:rPr>
                <w:rFonts w:ascii="Arial" w:hAnsi="Arial"/>
                <w:color w:val="172019"/>
                <w:sz w:val="15"/>
              </w:rPr>
              <w:t>Users should inspect/correct/delete remembered items</w:t>
            </w:r>
          </w:p>
        </w:tc>
        <w:tc>
          <w:tcPr>
            <w:tcW w:type="dxa" w:w="3600"/>
            <w:shd w:fill="F6F7F5"/>
            <w:vAlign w:val="top"/>
          </w:tcPr>
          <w:p>
            <w:pPr>
              <w:spacing w:after="20"/>
            </w:pPr>
            <w:r>
              <w:rPr>
                <w:rFonts w:ascii="Arial" w:hAnsi="Arial"/>
                <w:color w:val="172019"/>
                <w:sz w:val="15"/>
              </w:rPr>
              <w:t>Add project memory settings view</w:t>
            </w:r>
          </w:p>
        </w:tc>
      </w:tr>
      <w:tr>
        <w:tc>
          <w:tcPr>
            <w:tcW w:type="dxa" w:w="3024"/>
            <w:vAlign w:val="top"/>
          </w:tcPr>
          <w:p>
            <w:pPr>
              <w:spacing w:after="20"/>
            </w:pPr>
            <w:r>
              <w:rPr>
                <w:rFonts w:ascii="Arial" w:hAnsi="Arial"/>
                <w:color w:val="172019"/>
                <w:sz w:val="15"/>
              </w:rPr>
              <w:t>Document upload is deferred</w:t>
            </w:r>
          </w:p>
        </w:tc>
        <w:tc>
          <w:tcPr>
            <w:tcW w:type="dxa" w:w="3168"/>
            <w:vAlign w:val="top"/>
          </w:tcPr>
          <w:p>
            <w:pPr>
              <w:spacing w:after="20"/>
            </w:pPr>
            <w:r>
              <w:rPr>
                <w:rFonts w:ascii="Arial" w:hAnsi="Arial"/>
                <w:color w:val="172019"/>
                <w:sz w:val="15"/>
              </w:rPr>
              <w:t>Founders cannot yet bring existing research into the evidence graph</w:t>
            </w:r>
          </w:p>
        </w:tc>
        <w:tc>
          <w:tcPr>
            <w:tcW w:type="dxa" w:w="3600"/>
            <w:vAlign w:val="top"/>
          </w:tcPr>
          <w:p>
            <w:pPr>
              <w:spacing w:after="20"/>
            </w:pPr>
            <w:r>
              <w:rPr>
                <w:rFonts w:ascii="Arial" w:hAnsi="Arial"/>
                <w:color w:val="172019"/>
                <w:sz w:val="15"/>
              </w:rPr>
              <w:t>V2: Supabase Storage + LlamaIndex + injection tests + page citations</w:t>
            </w:r>
          </w:p>
        </w:tc>
      </w:tr>
      <w:tr>
        <w:tc>
          <w:tcPr>
            <w:tcW w:type="dxa" w:w="3024"/>
            <w:shd w:fill="F6F7F5"/>
            <w:vAlign w:val="top"/>
          </w:tcPr>
          <w:p>
            <w:pPr>
              <w:spacing w:after="20"/>
            </w:pPr>
            <w:r>
              <w:rPr>
                <w:rFonts w:ascii="Arial" w:hAnsi="Arial"/>
                <w:color w:val="172019"/>
                <w:sz w:val="15"/>
              </w:rPr>
              <w:t>Voice is absent</w:t>
            </w:r>
          </w:p>
        </w:tc>
        <w:tc>
          <w:tcPr>
            <w:tcW w:type="dxa" w:w="3168"/>
            <w:shd w:fill="F6F7F5"/>
            <w:vAlign w:val="top"/>
          </w:tcPr>
          <w:p>
            <w:pPr>
              <w:spacing w:after="20"/>
            </w:pPr>
            <w:r>
              <w:rPr>
                <w:rFonts w:ascii="Arial" w:hAnsi="Arial"/>
                <w:color w:val="172019"/>
                <w:sz w:val="15"/>
              </w:rPr>
              <w:t>No impact on the core decision job</w:t>
            </w:r>
          </w:p>
        </w:tc>
        <w:tc>
          <w:tcPr>
            <w:tcW w:type="dxa" w:w="3600"/>
            <w:shd w:fill="F6F7F5"/>
            <w:vAlign w:val="top"/>
          </w:tcPr>
          <w:p>
            <w:pPr>
              <w:spacing w:after="20"/>
            </w:pPr>
            <w:r>
              <w:rPr>
                <w:rFonts w:ascii="Arial" w:hAnsi="Arial"/>
                <w:color w:val="172019"/>
                <w:sz w:val="15"/>
              </w:rPr>
              <w:t>Only add after research and accessibility evals justify it</w:t>
            </w:r>
          </w:p>
        </w:tc>
      </w:tr>
    </w:tbl>
    <w:p>
      <w:pPr>
        <w:spacing w:after="0"/>
      </w:pPr>
    </w:p>
    <w:p>
      <w:pPr>
        <w:pStyle w:val="Heading2"/>
        <w:keepNext/>
      </w:pPr>
      <w:r>
        <w:t>V2 without destabilizing V1</w:t>
      </w:r>
    </w:p>
    <w:p>
      <w:pPr>
        <w:pStyle w:val="ListBullet"/>
        <w:spacing w:after="60"/>
        <w:ind w:left="288" w:hanging="173"/>
      </w:pPr>
      <w:r>
        <w:rPr>
          <w:rFonts w:ascii="Arial" w:hAnsi="Arial"/>
          <w:sz w:val="18"/>
        </w:rPr>
        <w:t>Upload founder research, interview transcripts, PDFs, and spreadsheets into owner-scoped Supabase Storage.</w:t>
      </w:r>
    </w:p>
    <w:p>
      <w:pPr>
        <w:pStyle w:val="ListBullet"/>
        <w:spacing w:after="60"/>
        <w:ind w:left="288" w:hanging="173"/>
      </w:pPr>
      <w:r>
        <w:rPr>
          <w:rFonts w:ascii="Arial" w:hAnsi="Arial"/>
          <w:sz w:val="18"/>
        </w:rPr>
        <w:t>Use LlamaIndex for parsing, chunking, deduplication, injection screening, and page-level citations.</w:t>
      </w:r>
    </w:p>
    <w:p>
      <w:pPr>
        <w:pStyle w:val="ListBullet"/>
        <w:spacing w:after="60"/>
        <w:ind w:left="288" w:hanging="173"/>
      </w:pPr>
      <w:r>
        <w:rPr>
          <w:rFonts w:ascii="Arial" w:hAnsi="Arial"/>
          <w:sz w:val="18"/>
        </w:rPr>
        <w:t>Project only accepted chunks into Pinecone; preserve document lineage in Supabase.</w:t>
      </w:r>
    </w:p>
    <w:p>
      <w:pPr>
        <w:pStyle w:val="ListBullet"/>
        <w:spacing w:after="60"/>
        <w:ind w:left="288" w:hanging="173"/>
      </w:pPr>
      <w:r>
        <w:rPr>
          <w:rFonts w:ascii="Arial" w:hAnsi="Arial"/>
          <w:sz w:val="18"/>
        </w:rPr>
        <w:t>Let the Supervisor choose between founder documents, public-web research, clarification, or a mixed evidence plan.</w:t>
      </w:r>
    </w:p>
    <w:p>
      <w:pPr>
        <w:pStyle w:val="ListBullet"/>
        <w:spacing w:after="60"/>
        <w:ind w:left="288" w:hanging="173"/>
      </w:pPr>
      <w:r>
        <w:rPr>
          <w:rFonts w:ascii="Arial" w:hAnsi="Arial"/>
          <w:sz w:val="18"/>
        </w:rPr>
        <w:t>Add memory inspect/correct/delete controls and version-to-version journey summaries.</w:t>
      </w:r>
    </w:p>
    <w:p>
      <w:pPr>
        <w:pStyle w:val="ListBullet"/>
        <w:spacing w:after="60"/>
        <w:ind w:left="288" w:hanging="173"/>
      </w:pPr>
      <w:r>
        <w:rPr>
          <w:rFonts w:ascii="Arial" w:hAnsi="Arial"/>
          <w:sz w:val="18"/>
        </w:rPr>
        <w:t>Consider voice only as an accessibility interface, not as a new autonomous authority.</w:t>
      </w:r>
    </w:p>
    <w:tbl>
      <w:tblPr>
        <w:tblW w:type="auto" w:w="0"/>
        <w:jc w:val="center"/>
        <w:tblLayout w:type="autofit"/>
        <w:tblLook w:firstColumn="1" w:firstRow="1" w:lastColumn="0" w:lastRow="0" w:noHBand="0" w:noVBand="1" w:val="04A0"/>
      </w:tblPr>
      <w:tblGrid>
        <w:gridCol w:w="10166"/>
      </w:tblGrid>
      <w:tr>
        <w:tc>
          <w:tcPr>
            <w:tcW w:type="dxa" w:w="10166"/>
            <w:shd w:fill="F7EEE8"/>
            <w:tcBorders>
              <w:left w:val="single" w:sz="22" w:color="2F7D4F"/>
            </w:tcBorders>
            <w:vAlign w:val="center"/>
          </w:tcPr>
          <w:p>
            <w:pPr>
              <w:spacing w:before="120" w:after="120"/>
            </w:pPr>
            <w:r>
              <w:rPr>
                <w:rFonts w:ascii="Arial" w:hAnsi="Arial"/>
                <w:b/>
                <w:color w:val="173C2A"/>
                <w:sz w:val="20"/>
              </w:rPr>
              <w:t>Do not add before submission</w:t>
              <w:br/>
            </w:r>
            <w:r>
              <w:rPr>
                <w:rFonts w:ascii="Arial" w:hAnsi="Arial"/>
                <w:color w:val="172019"/>
                <w:sz w:val="18"/>
              </w:rPr>
              <w:t>Fine-tuning, arbitrary peer-to-peer agent conversation, a new model provider, voice, MCP, or broad document ingestion would add failure modes without closing the remaining critical-path gaps. The priority is public HTTPS, full live staged acceptance, and the demo package.</w:t>
            </w:r>
          </w:p>
        </w:tc>
      </w:tr>
    </w:tbl>
    <w:p>
      <w:pPr>
        <w:spacing w:after="0"/>
      </w:pPr>
    </w:p>
    <w:p>
      <w:r>
        <w:br w:type="page"/>
      </w:r>
    </w:p>
    <w:p>
      <w:pPr>
        <w:pStyle w:val="BlueprintKicker"/>
        <w:keepNext/>
      </w:pPr>
      <w:r>
        <w:rPr>
          <w:rFonts w:ascii="Arial" w:hAnsi="Arial"/>
          <w:b w:val="0"/>
        </w:rPr>
        <w:t>17 / FINAL MILE</w:t>
      </w:r>
    </w:p>
    <w:p>
      <w:pPr>
        <w:pStyle w:val="Heading1"/>
        <w:keepNext/>
      </w:pPr>
      <w:r>
        <w:t>Demo and submission runbook</w:t>
      </w:r>
    </w:p>
    <w:p>
      <w:pPr>
        <w:pStyle w:val="Heading2"/>
        <w:keepNext/>
      </w:pPr>
      <w:r>
        <w:t>Five-minute demo story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173C2A"/>
            <w:vAlign w:val="center"/>
          </w:tcPr>
          <w:p>
            <w:pPr>
              <w:spacing w:after="0"/>
            </w:pPr>
            <w:r>
              <w:rPr>
                <w:rFonts w:ascii="Arial" w:hAnsi="Arial"/>
                <w:b/>
                <w:color w:val="FFFFFF"/>
                <w:sz w:val="15"/>
              </w:rPr>
              <w:t>Time</w:t>
            </w:r>
          </w:p>
        </w:tc>
        <w:tc>
          <w:tcPr>
            <w:tcW w:type="dxa" w:w="5112"/>
            <w:shd w:fill="173C2A"/>
            <w:vAlign w:val="center"/>
          </w:tcPr>
          <w:p>
            <w:pPr>
              <w:spacing w:after="0"/>
            </w:pPr>
            <w:r>
              <w:rPr>
                <w:rFonts w:ascii="Arial" w:hAnsi="Arial"/>
                <w:b/>
                <w:color w:val="FFFFFF"/>
                <w:sz w:val="15"/>
              </w:rPr>
              <w:t>Show</w:t>
            </w:r>
          </w:p>
        </w:tc>
        <w:tc>
          <w:tcPr>
            <w:tcW w:type="dxa" w:w="3384"/>
            <w:shd w:fill="173C2A"/>
            <w:vAlign w:val="center"/>
          </w:tcPr>
          <w:p>
            <w:pPr>
              <w:spacing w:after="0"/>
            </w:pPr>
            <w:r>
              <w:rPr>
                <w:rFonts w:ascii="Arial" w:hAnsi="Arial"/>
                <w:b/>
                <w:color w:val="FFFFFF"/>
                <w:sz w:val="15"/>
              </w:rPr>
              <w:t>Evaluator takeaway</w:t>
            </w:r>
          </w:p>
        </w:tc>
      </w:tr>
      <w:tr>
        <w:tc>
          <w:tcPr>
            <w:tcW w:type="dxa" w:w="1296"/>
            <w:vAlign w:val="top"/>
          </w:tcPr>
          <w:p>
            <w:pPr>
              <w:spacing w:after="20"/>
            </w:pPr>
            <w:r>
              <w:rPr>
                <w:rFonts w:ascii="Arial" w:hAnsi="Arial"/>
                <w:color w:val="172019"/>
                <w:sz w:val="15"/>
              </w:rPr>
              <w:t>0:00–0:30</w:t>
            </w:r>
          </w:p>
        </w:tc>
        <w:tc>
          <w:tcPr>
            <w:tcW w:type="dxa" w:w="5112"/>
            <w:vAlign w:val="top"/>
          </w:tcPr>
          <w:p>
            <w:pPr>
              <w:spacing w:after="20"/>
            </w:pPr>
            <w:r>
              <w:rPr>
                <w:rFonts w:ascii="Arial" w:hAnsi="Arial"/>
                <w:color w:val="172019"/>
                <w:sz w:val="15"/>
              </w:rPr>
              <w:t>Landing page, one-liner, no-login entry</w:t>
            </w:r>
          </w:p>
        </w:tc>
        <w:tc>
          <w:tcPr>
            <w:tcW w:type="dxa" w:w="3384"/>
            <w:vAlign w:val="top"/>
          </w:tcPr>
          <w:p>
            <w:pPr>
              <w:spacing w:after="20"/>
            </w:pPr>
            <w:r>
              <w:rPr>
                <w:rFonts w:ascii="Arial" w:hAnsi="Arial"/>
                <w:color w:val="172019"/>
                <w:sz w:val="15"/>
              </w:rPr>
              <w:t>Clear user and task</w:t>
            </w:r>
          </w:p>
        </w:tc>
      </w:tr>
      <w:tr>
        <w:tc>
          <w:tcPr>
            <w:tcW w:type="dxa" w:w="1296"/>
            <w:shd w:fill="F6F7F5"/>
            <w:vAlign w:val="top"/>
          </w:tcPr>
          <w:p>
            <w:pPr>
              <w:spacing w:after="20"/>
            </w:pPr>
            <w:r>
              <w:rPr>
                <w:rFonts w:ascii="Arial" w:hAnsi="Arial"/>
                <w:color w:val="172019"/>
                <w:sz w:val="15"/>
              </w:rPr>
              <w:t>0:30–1:05</w:t>
            </w:r>
          </w:p>
        </w:tc>
        <w:tc>
          <w:tcPr>
            <w:tcW w:type="dxa" w:w="5112"/>
            <w:shd w:fill="F6F7F5"/>
            <w:vAlign w:val="top"/>
          </w:tcPr>
          <w:p>
            <w:pPr>
              <w:spacing w:after="20"/>
            </w:pPr>
            <w:r>
              <w:rPr>
                <w:rFonts w:ascii="Arial" w:hAnsi="Arial"/>
                <w:color w:val="172019"/>
                <w:sz w:val="15"/>
              </w:rPr>
              <w:t>Idea + onboarding; all three research lanes</w:t>
            </w:r>
          </w:p>
        </w:tc>
        <w:tc>
          <w:tcPr>
            <w:tcW w:type="dxa" w:w="3384"/>
            <w:shd w:fill="F6F7F5"/>
            <w:vAlign w:val="top"/>
          </w:tcPr>
          <w:p>
            <w:pPr>
              <w:spacing w:after="20"/>
            </w:pPr>
            <w:r>
              <w:rPr>
                <w:rFonts w:ascii="Arial" w:hAnsi="Arial"/>
                <w:color w:val="172019"/>
                <w:sz w:val="15"/>
              </w:rPr>
              <w:t>Goal/constraints shape the plan</w:t>
            </w:r>
          </w:p>
        </w:tc>
      </w:tr>
      <w:tr>
        <w:tc>
          <w:tcPr>
            <w:tcW w:type="dxa" w:w="1296"/>
            <w:vAlign w:val="top"/>
          </w:tcPr>
          <w:p>
            <w:pPr>
              <w:spacing w:after="20"/>
            </w:pPr>
            <w:r>
              <w:rPr>
                <w:rFonts w:ascii="Arial" w:hAnsi="Arial"/>
                <w:color w:val="172019"/>
                <w:sz w:val="15"/>
              </w:rPr>
              <w:t>1:05–1:55</w:t>
            </w:r>
          </w:p>
        </w:tc>
        <w:tc>
          <w:tcPr>
            <w:tcW w:type="dxa" w:w="5112"/>
            <w:vAlign w:val="top"/>
          </w:tcPr>
          <w:p>
            <w:pPr>
              <w:spacing w:after="20"/>
            </w:pPr>
            <w:r>
              <w:rPr>
                <w:rFonts w:ascii="Arial" w:hAnsi="Arial"/>
                <w:color w:val="172019"/>
                <w:sz w:val="15"/>
              </w:rPr>
              <w:t>Roadmap runs; open Customer/Competitor/Market while work continues</w:t>
            </w:r>
          </w:p>
        </w:tc>
        <w:tc>
          <w:tcPr>
            <w:tcW w:type="dxa" w:w="3384"/>
            <w:vAlign w:val="top"/>
          </w:tcPr>
          <w:p>
            <w:pPr>
              <w:spacing w:after="20"/>
            </w:pPr>
            <w:r>
              <w:rPr>
                <w:rFonts w:ascii="Arial" w:hAnsi="Arial"/>
                <w:color w:val="172019"/>
                <w:sz w:val="15"/>
              </w:rPr>
              <w:t>Parallel, inspectable orchestration</w:t>
            </w:r>
          </w:p>
        </w:tc>
      </w:tr>
      <w:tr>
        <w:tc>
          <w:tcPr>
            <w:tcW w:type="dxa" w:w="1296"/>
            <w:shd w:fill="F6F7F5"/>
            <w:vAlign w:val="top"/>
          </w:tcPr>
          <w:p>
            <w:pPr>
              <w:spacing w:after="20"/>
            </w:pPr>
            <w:r>
              <w:rPr>
                <w:rFonts w:ascii="Arial" w:hAnsi="Arial"/>
                <w:color w:val="172019"/>
                <w:sz w:val="15"/>
              </w:rPr>
              <w:t>1:55–2:35</w:t>
            </w:r>
          </w:p>
        </w:tc>
        <w:tc>
          <w:tcPr>
            <w:tcW w:type="dxa" w:w="5112"/>
            <w:shd w:fill="F6F7F5"/>
            <w:vAlign w:val="top"/>
          </w:tcPr>
          <w:p>
            <w:pPr>
              <w:spacing w:after="20"/>
            </w:pPr>
            <w:r>
              <w:rPr>
                <w:rFonts w:ascii="Arial" w:hAnsi="Arial"/>
                <w:color w:val="172019"/>
                <w:sz w:val="15"/>
              </w:rPr>
              <w:t>Evidence Audit + Verdict with score explanation and sources</w:t>
            </w:r>
          </w:p>
        </w:tc>
        <w:tc>
          <w:tcPr>
            <w:tcW w:type="dxa" w:w="3384"/>
            <w:shd w:fill="F6F7F5"/>
            <w:vAlign w:val="top"/>
          </w:tcPr>
          <w:p>
            <w:pPr>
              <w:spacing w:after="20"/>
            </w:pPr>
            <w:r>
              <w:rPr>
                <w:rFonts w:ascii="Arial" w:hAnsi="Arial"/>
                <w:color w:val="172019"/>
                <w:sz w:val="15"/>
              </w:rPr>
              <w:t>Grounding and deterministic gate</w:t>
            </w:r>
          </w:p>
        </w:tc>
      </w:tr>
      <w:tr>
        <w:tc>
          <w:tcPr>
            <w:tcW w:type="dxa" w:w="1296"/>
            <w:vAlign w:val="top"/>
          </w:tcPr>
          <w:p>
            <w:pPr>
              <w:spacing w:after="20"/>
            </w:pPr>
            <w:r>
              <w:rPr>
                <w:rFonts w:ascii="Arial" w:hAnsi="Arial"/>
                <w:color w:val="172019"/>
                <w:sz w:val="15"/>
              </w:rPr>
              <w:t>2:35–3:10</w:t>
            </w:r>
          </w:p>
        </w:tc>
        <w:tc>
          <w:tcPr>
            <w:tcW w:type="dxa" w:w="5112"/>
            <w:vAlign w:val="top"/>
          </w:tcPr>
          <w:p>
            <w:pPr>
              <w:spacing w:after="20"/>
            </w:pPr>
            <w:r>
              <w:rPr>
                <w:rFonts w:ascii="Arial" w:hAnsi="Arial"/>
                <w:color w:val="172019"/>
                <w:sz w:val="15"/>
              </w:rPr>
              <w:t>Gate 1 decision and dynamically created Stage 2</w:t>
            </w:r>
          </w:p>
        </w:tc>
        <w:tc>
          <w:tcPr>
            <w:tcW w:type="dxa" w:w="3384"/>
            <w:vAlign w:val="top"/>
          </w:tcPr>
          <w:p>
            <w:pPr>
              <w:spacing w:after="20"/>
            </w:pPr>
            <w:r>
              <w:rPr>
                <w:rFonts w:ascii="Arial" w:hAnsi="Arial"/>
                <w:color w:val="172019"/>
                <w:sz w:val="15"/>
              </w:rPr>
              <w:t>Human control and branching</w:t>
            </w:r>
          </w:p>
        </w:tc>
      </w:tr>
      <w:tr>
        <w:tc>
          <w:tcPr>
            <w:tcW w:type="dxa" w:w="1296"/>
            <w:shd w:fill="F6F7F5"/>
            <w:vAlign w:val="top"/>
          </w:tcPr>
          <w:p>
            <w:pPr>
              <w:spacing w:after="20"/>
            </w:pPr>
            <w:r>
              <w:rPr>
                <w:rFonts w:ascii="Arial" w:hAnsi="Arial"/>
                <w:color w:val="172019"/>
                <w:sz w:val="15"/>
              </w:rPr>
              <w:t>3:10–3:40</w:t>
            </w:r>
          </w:p>
        </w:tc>
        <w:tc>
          <w:tcPr>
            <w:tcW w:type="dxa" w:w="5112"/>
            <w:shd w:fill="F6F7F5"/>
            <w:vAlign w:val="top"/>
          </w:tcPr>
          <w:p>
            <w:pPr>
              <w:spacing w:after="20"/>
            </w:pPr>
            <w:r>
              <w:rPr>
                <w:rFonts w:ascii="Arial" w:hAnsi="Arial"/>
                <w:color w:val="172019"/>
                <w:sz w:val="15"/>
              </w:rPr>
              <w:t>Ask This Research; ask one supported and one out-of-scope question</w:t>
            </w:r>
          </w:p>
        </w:tc>
        <w:tc>
          <w:tcPr>
            <w:tcW w:type="dxa" w:w="3384"/>
            <w:shd w:fill="F6F7F5"/>
            <w:vAlign w:val="top"/>
          </w:tcPr>
          <w:p>
            <w:pPr>
              <w:spacing w:after="20"/>
            </w:pPr>
            <w:r>
              <w:rPr>
                <w:rFonts w:ascii="Arial" w:hAnsi="Arial"/>
                <w:color w:val="172019"/>
                <w:sz w:val="15"/>
              </w:rPr>
              <w:t>RAG grounding and guardrail</w:t>
            </w:r>
          </w:p>
        </w:tc>
      </w:tr>
      <w:tr>
        <w:tc>
          <w:tcPr>
            <w:tcW w:type="dxa" w:w="1296"/>
            <w:vAlign w:val="top"/>
          </w:tcPr>
          <w:p>
            <w:pPr>
              <w:spacing w:after="20"/>
            </w:pPr>
            <w:r>
              <w:rPr>
                <w:rFonts w:ascii="Arial" w:hAnsi="Arial"/>
                <w:color w:val="172019"/>
                <w:sz w:val="15"/>
              </w:rPr>
              <w:t>3:40–4:10</w:t>
            </w:r>
          </w:p>
        </w:tc>
        <w:tc>
          <w:tcPr>
            <w:tcW w:type="dxa" w:w="5112"/>
            <w:vAlign w:val="top"/>
          </w:tcPr>
          <w:p>
            <w:pPr>
              <w:spacing w:after="20"/>
            </w:pPr>
            <w:r>
              <w:rPr>
                <w:rFonts w:ascii="Arial" w:hAnsi="Arial"/>
                <w:color w:val="172019"/>
                <w:sz w:val="15"/>
              </w:rPr>
              <w:t>Trigger/describe tool failure and show partial/safe outcome</w:t>
            </w:r>
          </w:p>
        </w:tc>
        <w:tc>
          <w:tcPr>
            <w:tcW w:type="dxa" w:w="3384"/>
            <w:vAlign w:val="top"/>
          </w:tcPr>
          <w:p>
            <w:pPr>
              <w:spacing w:after="20"/>
            </w:pPr>
            <w:r>
              <w:rPr>
                <w:rFonts w:ascii="Arial" w:hAnsi="Arial"/>
                <w:color w:val="172019"/>
                <w:sz w:val="15"/>
              </w:rPr>
              <w:t>Unhappy path is finished</w:t>
            </w:r>
          </w:p>
        </w:tc>
      </w:tr>
      <w:tr>
        <w:tc>
          <w:tcPr>
            <w:tcW w:type="dxa" w:w="1296"/>
            <w:shd w:fill="F6F7F5"/>
            <w:vAlign w:val="top"/>
          </w:tcPr>
          <w:p>
            <w:pPr>
              <w:spacing w:after="20"/>
            </w:pPr>
            <w:r>
              <w:rPr>
                <w:rFonts w:ascii="Arial" w:hAnsi="Arial"/>
                <w:color w:val="172019"/>
                <w:sz w:val="15"/>
              </w:rPr>
              <w:t>4:10–4:35</w:t>
            </w:r>
          </w:p>
        </w:tc>
        <w:tc>
          <w:tcPr>
            <w:tcW w:type="dxa" w:w="5112"/>
            <w:shd w:fill="F6F7F5"/>
            <w:vAlign w:val="top"/>
          </w:tcPr>
          <w:p>
            <w:pPr>
              <w:spacing w:after="20"/>
            </w:pPr>
            <w:r>
              <w:rPr>
                <w:rFonts w:ascii="Arial" w:hAnsi="Arial"/>
                <w:color w:val="172019"/>
                <w:sz w:val="15"/>
              </w:rPr>
              <w:t>Open full Blueprint, financial view, and original/updated versions</w:t>
            </w:r>
          </w:p>
        </w:tc>
        <w:tc>
          <w:tcPr>
            <w:tcW w:type="dxa" w:w="3384"/>
            <w:shd w:fill="F6F7F5"/>
            <w:vAlign w:val="top"/>
          </w:tcPr>
          <w:p>
            <w:pPr>
              <w:spacing w:after="20"/>
            </w:pPr>
            <w:r>
              <w:rPr>
                <w:rFonts w:ascii="Arial" w:hAnsi="Arial"/>
                <w:color w:val="172019"/>
                <w:sz w:val="15"/>
              </w:rPr>
              <w:t>Actionable end product</w:t>
            </w:r>
          </w:p>
        </w:tc>
      </w:tr>
      <w:tr>
        <w:tc>
          <w:tcPr>
            <w:tcW w:type="dxa" w:w="1296"/>
            <w:vAlign w:val="top"/>
          </w:tcPr>
          <w:p>
            <w:pPr>
              <w:spacing w:after="20"/>
            </w:pPr>
            <w:r>
              <w:rPr>
                <w:rFonts w:ascii="Arial" w:hAnsi="Arial"/>
                <w:color w:val="172019"/>
                <w:sz w:val="15"/>
              </w:rPr>
              <w:t>4:35–5:00</w:t>
            </w:r>
          </w:p>
        </w:tc>
        <w:tc>
          <w:tcPr>
            <w:tcW w:type="dxa" w:w="5112"/>
            <w:vAlign w:val="top"/>
          </w:tcPr>
          <w:p>
            <w:pPr>
              <w:spacing w:after="20"/>
            </w:pPr>
            <w:r>
              <w:rPr>
                <w:rFonts w:ascii="Arial" w:hAnsi="Arial"/>
                <w:color w:val="172019"/>
                <w:sz w:val="15"/>
              </w:rPr>
              <w:t>Architecture + 79/79 eval result + known limits</w:t>
            </w:r>
          </w:p>
        </w:tc>
        <w:tc>
          <w:tcPr>
            <w:tcW w:type="dxa" w:w="3384"/>
            <w:vAlign w:val="top"/>
          </w:tcPr>
          <w:p>
            <w:pPr>
              <w:spacing w:after="20"/>
            </w:pPr>
            <w:r>
              <w:rPr>
                <w:rFonts w:ascii="Arial" w:hAnsi="Arial"/>
                <w:color w:val="172019"/>
                <w:sz w:val="15"/>
              </w:rPr>
              <w:t>Engineering depth and honesty</w:t>
            </w:r>
          </w:p>
        </w:tc>
      </w:tr>
    </w:tbl>
    <w:p>
      <w:pPr>
        <w:spacing w:after="0"/>
      </w:pPr>
    </w:p>
    <w:p>
      <w:pPr>
        <w:pStyle w:val="Heading2"/>
        <w:keepNext/>
      </w:pPr>
      <w:r>
        <w:t>Final acceptance checklist</w:t>
      </w:r>
    </w:p>
    <w:p>
      <w:pPr>
        <w:pStyle w:val="ListBullet"/>
        <w:spacing w:after="60"/>
        <w:ind w:left="288" w:hanging="173"/>
      </w:pPr>
      <w:r>
        <w:rPr>
          <w:rFonts w:ascii="Arial" w:hAnsi="Arial"/>
          <w:sz w:val="18"/>
        </w:rPr>
        <w:t>Deploy n8n at a stable HTTPS endpoint reachable by Streamlit Cloud.</w:t>
      </w:r>
    </w:p>
    <w:p>
      <w:pPr>
        <w:pStyle w:val="ListBullet"/>
        <w:spacing w:after="60"/>
        <w:ind w:left="288" w:hanging="173"/>
      </w:pPr>
      <w:r>
        <w:rPr>
          <w:rFonts w:ascii="Arial" w:hAnsi="Arial"/>
          <w:sz w:val="18"/>
        </w:rPr>
        <w:t>Set Streamlit secrets for Supabase URL/key and n8n webhook base URL; verify no secret is committed.</w:t>
      </w:r>
    </w:p>
    <w:p>
      <w:pPr>
        <w:pStyle w:val="ListBullet"/>
        <w:spacing w:after="60"/>
        <w:ind w:left="288" w:hanging="173"/>
      </w:pPr>
      <w:r>
        <w:rPr>
          <w:rFonts w:ascii="Arial" w:hAnsi="Arial"/>
          <w:sz w:val="18"/>
        </w:rPr>
        <w:t>Run one fresh anonymous journey from landing through Gate 1, Gate 2, and Action Blueprint.</w:t>
      </w:r>
    </w:p>
    <w:p>
      <w:pPr>
        <w:pStyle w:val="ListBullet"/>
        <w:spacing w:after="60"/>
        <w:ind w:left="288" w:hanging="173"/>
      </w:pPr>
      <w:r>
        <w:rPr>
          <w:rFonts w:ascii="Arial" w:hAnsi="Arial"/>
          <w:sz w:val="18"/>
        </w:rPr>
        <w:t>Run a second anonymous browser and confirm owner isolation.</w:t>
      </w:r>
    </w:p>
    <w:p>
      <w:pPr>
        <w:pStyle w:val="ListBullet"/>
        <w:spacing w:after="60"/>
        <w:ind w:left="288" w:hanging="173"/>
      </w:pPr>
      <w:r>
        <w:rPr>
          <w:rFonts w:ascii="Arial" w:hAnsi="Arial"/>
          <w:sz w:val="18"/>
        </w:rPr>
        <w:t>Capture one provider/tool failure, one unsafe request denial, and one stale replay rejection.</w:t>
      </w:r>
    </w:p>
    <w:p>
      <w:pPr>
        <w:pStyle w:val="ListBullet"/>
        <w:spacing w:after="60"/>
        <w:ind w:left="288" w:hanging="173"/>
      </w:pPr>
      <w:r>
        <w:rPr>
          <w:rFonts w:ascii="Arial" w:hAnsi="Arial"/>
          <w:sz w:val="18"/>
        </w:rPr>
        <w:t>Record latency, tool/model cost, evidence coverage, terminal status, and run IDs.</w:t>
      </w:r>
    </w:p>
    <w:p>
      <w:pPr>
        <w:pStyle w:val="ListBullet"/>
        <w:spacing w:after="60"/>
        <w:ind w:left="288" w:hanging="173"/>
      </w:pPr>
      <w:r>
        <w:rPr>
          <w:rFonts w:ascii="Arial" w:hAnsi="Arial"/>
          <w:sz w:val="18"/>
        </w:rPr>
        <w:t>Run unit tests, Phase 6 evals, credential scan, and repository cleanliness check.</w:t>
      </w:r>
    </w:p>
    <w:p>
      <w:pPr>
        <w:pStyle w:val="ListBullet"/>
        <w:spacing w:after="60"/>
        <w:ind w:left="288" w:hanging="173"/>
      </w:pPr>
      <w:r>
        <w:rPr>
          <w:rFonts w:ascii="Arial" w:hAnsi="Arial"/>
          <w:sz w:val="18"/>
        </w:rPr>
        <w:t>Record and trim the ≤5-minute video; include GitHub and this document in the submission.</w:t>
      </w:r>
    </w:p>
    <w:tbl>
      <w:tblPr>
        <w:tblW w:type="auto" w:w="0"/>
        <w:jc w:val="center"/>
        <w:tblLayout w:type="autofit"/>
        <w:tblLook w:firstColumn="1" w:firstRow="1" w:lastColumn="0" w:lastRow="0" w:noHBand="0" w:noVBand="1" w:val="04A0"/>
      </w:tblPr>
      <w:tblGrid>
        <w:gridCol w:w="10166"/>
      </w:tblGrid>
      <w:tr>
        <w:tc>
          <w:tcPr>
            <w:tcW w:type="dxa" w:w="10166"/>
            <w:shd w:fill="EAF1F7"/>
            <w:tcBorders>
              <w:left w:val="single" w:sz="22" w:color="2F7D4F"/>
            </w:tcBorders>
            <w:vAlign w:val="center"/>
          </w:tcPr>
          <w:p>
            <w:pPr>
              <w:spacing w:before="120" w:after="120"/>
            </w:pPr>
            <w:r>
              <w:rPr>
                <w:rFonts w:ascii="Arial" w:hAnsi="Arial"/>
                <w:b/>
                <w:color w:val="173C2A"/>
                <w:sz w:val="20"/>
              </w:rPr>
              <w:t>Submission status</w:t>
              <w:br/>
            </w:r>
            <w:r>
              <w:rPr>
                <w:rFonts w:ascii="Arial" w:hAnsi="Arial"/>
                <w:color w:val="172019"/>
                <w:sz w:val="18"/>
              </w:rPr>
              <w:t>Architecture, implementation documentation, UI, workflow exports, safety boundaries, and repeatable eval evidence are prepared. The remaining work is operational acceptance and packaging—not redesigning the core product.</w:t>
            </w:r>
          </w:p>
        </w:tc>
      </w:tr>
    </w:tbl>
    <w:p>
      <w:pPr>
        <w:spacing w:after="0"/>
      </w:pPr>
    </w:p>
    <w:p>
      <w:r>
        <w:br w:type="page"/>
      </w:r>
    </w:p>
    <w:p>
      <w:pPr>
        <w:pStyle w:val="BlueprintKicker"/>
        <w:keepNext/>
      </w:pPr>
      <w:r>
        <w:rPr>
          <w:rFonts w:ascii="Arial" w:hAnsi="Arial"/>
          <w:b w:val="0"/>
        </w:rPr>
        <w:t>APPENDIX</w:t>
      </w:r>
    </w:p>
    <w:p>
      <w:pPr>
        <w:pStyle w:val="Heading1"/>
        <w:keepNext/>
      </w:pPr>
      <w:r>
        <w:t>Appendix A — repository evidence map</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600"/>
            <w:shd w:fill="173C2A"/>
            <w:vAlign w:val="center"/>
          </w:tcPr>
          <w:p>
            <w:pPr>
              <w:spacing w:after="0"/>
            </w:pPr>
            <w:r>
              <w:rPr>
                <w:rFonts w:ascii="Arial" w:hAnsi="Arial"/>
                <w:b/>
                <w:color w:val="FFFFFF"/>
                <w:sz w:val="15"/>
              </w:rPr>
              <w:t>Evidence</w:t>
            </w:r>
          </w:p>
        </w:tc>
        <w:tc>
          <w:tcPr>
            <w:tcW w:type="dxa" w:w="6192"/>
            <w:shd w:fill="173C2A"/>
            <w:vAlign w:val="center"/>
          </w:tcPr>
          <w:p>
            <w:pPr>
              <w:spacing w:after="0"/>
            </w:pPr>
            <w:r>
              <w:rPr>
                <w:rFonts w:ascii="Arial" w:hAnsi="Arial"/>
                <w:b/>
                <w:color w:val="FFFFFF"/>
                <w:sz w:val="15"/>
              </w:rPr>
              <w:t>Repository location</w:t>
            </w:r>
          </w:p>
        </w:tc>
      </w:tr>
      <w:tr>
        <w:tc>
          <w:tcPr>
            <w:tcW w:type="dxa" w:w="3600"/>
            <w:vAlign w:val="top"/>
          </w:tcPr>
          <w:p>
            <w:pPr>
              <w:spacing w:after="20"/>
            </w:pPr>
            <w:r>
              <w:rPr>
                <w:rFonts w:ascii="Arial" w:hAnsi="Arial"/>
                <w:color w:val="172019"/>
                <w:sz w:val="15"/>
              </w:rPr>
              <w:t>Project overview and setup</w:t>
            </w:r>
          </w:p>
        </w:tc>
        <w:tc>
          <w:tcPr>
            <w:tcW w:type="dxa" w:w="6192"/>
            <w:vAlign w:val="top"/>
          </w:tcPr>
          <w:p>
            <w:pPr>
              <w:spacing w:after="20"/>
            </w:pPr>
            <w:r>
              <w:rPr>
                <w:rFonts w:ascii="Arial" w:hAnsi="Arial"/>
                <w:color w:val="172019"/>
                <w:sz w:val="15"/>
              </w:rPr>
              <w:t>README.md</w:t>
            </w:r>
          </w:p>
        </w:tc>
      </w:tr>
      <w:tr>
        <w:tc>
          <w:tcPr>
            <w:tcW w:type="dxa" w:w="3600"/>
            <w:shd w:fill="F6F7F5"/>
            <w:vAlign w:val="top"/>
          </w:tcPr>
          <w:p>
            <w:pPr>
              <w:spacing w:after="20"/>
            </w:pPr>
            <w:r>
              <w:rPr>
                <w:rFonts w:ascii="Arial" w:hAnsi="Arial"/>
                <w:color w:val="172019"/>
                <w:sz w:val="15"/>
              </w:rPr>
              <w:t>Closed-loop Phase 7 evidence</w:t>
            </w:r>
          </w:p>
        </w:tc>
        <w:tc>
          <w:tcPr>
            <w:tcW w:type="dxa" w:w="6192"/>
            <w:shd w:fill="F6F7F5"/>
            <w:vAlign w:val="top"/>
          </w:tcPr>
          <w:p>
            <w:pPr>
              <w:spacing w:after="20"/>
            </w:pPr>
            <w:r>
              <w:rPr>
                <w:rFonts w:ascii="Arial" w:hAnsi="Arial"/>
                <w:color w:val="172019"/>
                <w:sz w:val="15"/>
              </w:rPr>
              <w:t>backend/docs/phase-7-closed-loop-evidence.md</w:t>
            </w:r>
          </w:p>
        </w:tc>
      </w:tr>
      <w:tr>
        <w:tc>
          <w:tcPr>
            <w:tcW w:type="dxa" w:w="3600"/>
            <w:vAlign w:val="top"/>
          </w:tcPr>
          <w:p>
            <w:pPr>
              <w:spacing w:after="20"/>
            </w:pPr>
            <w:r>
              <w:rPr>
                <w:rFonts w:ascii="Arial" w:hAnsi="Arial"/>
                <w:color w:val="172019"/>
                <w:sz w:val="15"/>
              </w:rPr>
              <w:t>Architecture and product map</w:t>
            </w:r>
          </w:p>
        </w:tc>
        <w:tc>
          <w:tcPr>
            <w:tcW w:type="dxa" w:w="6192"/>
            <w:vAlign w:val="top"/>
          </w:tcPr>
          <w:p>
            <w:pPr>
              <w:spacing w:after="20"/>
            </w:pPr>
            <w:r>
              <w:rPr>
                <w:rFonts w:ascii="Arial" w:hAnsi="Arial"/>
                <w:color w:val="172019"/>
                <w:sz w:val="15"/>
              </w:rPr>
              <w:t>backend/docs/architecture-and-product-map.md</w:t>
            </w:r>
          </w:p>
        </w:tc>
      </w:tr>
      <w:tr>
        <w:tc>
          <w:tcPr>
            <w:tcW w:type="dxa" w:w="3600"/>
            <w:shd w:fill="F6F7F5"/>
            <w:vAlign w:val="top"/>
          </w:tcPr>
          <w:p>
            <w:pPr>
              <w:spacing w:after="20"/>
            </w:pPr>
            <w:r>
              <w:rPr>
                <w:rFonts w:ascii="Arial" w:hAnsi="Arial"/>
                <w:color w:val="172019"/>
                <w:sz w:val="15"/>
              </w:rPr>
              <w:t>Agent framework and boundaries</w:t>
            </w:r>
          </w:p>
        </w:tc>
        <w:tc>
          <w:tcPr>
            <w:tcW w:type="dxa" w:w="6192"/>
            <w:shd w:fill="F6F7F5"/>
            <w:vAlign w:val="top"/>
          </w:tcPr>
          <w:p>
            <w:pPr>
              <w:spacing w:after="20"/>
            </w:pPr>
            <w:r>
              <w:rPr>
                <w:rFonts w:ascii="Arial" w:hAnsi="Arial"/>
                <w:color w:val="172019"/>
                <w:sz w:val="15"/>
              </w:rPr>
              <w:t>backend/docs/agent-framework-and-boundaries.md</w:t>
            </w:r>
          </w:p>
        </w:tc>
      </w:tr>
      <w:tr>
        <w:tc>
          <w:tcPr>
            <w:tcW w:type="dxa" w:w="3600"/>
            <w:vAlign w:val="top"/>
          </w:tcPr>
          <w:p>
            <w:pPr>
              <w:spacing w:after="20"/>
            </w:pPr>
            <w:r>
              <w:rPr>
                <w:rFonts w:ascii="Arial" w:hAnsi="Arial"/>
                <w:color w:val="172019"/>
                <w:sz w:val="15"/>
              </w:rPr>
              <w:t>Requirements checklist</w:t>
            </w:r>
          </w:p>
        </w:tc>
        <w:tc>
          <w:tcPr>
            <w:tcW w:type="dxa" w:w="6192"/>
            <w:vAlign w:val="top"/>
          </w:tcPr>
          <w:p>
            <w:pPr>
              <w:spacing w:after="20"/>
            </w:pPr>
            <w:r>
              <w:rPr>
                <w:rFonts w:ascii="Arial" w:hAnsi="Arial"/>
                <w:color w:val="172019"/>
                <w:sz w:val="15"/>
              </w:rPr>
              <w:t>backend/docs/requirements-checklist-status.md</w:t>
            </w:r>
          </w:p>
        </w:tc>
      </w:tr>
      <w:tr>
        <w:tc>
          <w:tcPr>
            <w:tcW w:type="dxa" w:w="3600"/>
            <w:shd w:fill="F6F7F5"/>
            <w:vAlign w:val="top"/>
          </w:tcPr>
          <w:p>
            <w:pPr>
              <w:spacing w:after="20"/>
            </w:pPr>
            <w:r>
              <w:rPr>
                <w:rFonts w:ascii="Arial" w:hAnsi="Arial"/>
                <w:color w:val="172019"/>
                <w:sz w:val="15"/>
              </w:rPr>
              <w:t>Prompts used during build</w:t>
            </w:r>
          </w:p>
        </w:tc>
        <w:tc>
          <w:tcPr>
            <w:tcW w:type="dxa" w:w="6192"/>
            <w:shd w:fill="F6F7F5"/>
            <w:vAlign w:val="top"/>
          </w:tcPr>
          <w:p>
            <w:pPr>
              <w:spacing w:after="20"/>
            </w:pPr>
            <w:r>
              <w:rPr>
                <w:rFonts w:ascii="Arial" w:hAnsi="Arial"/>
                <w:color w:val="172019"/>
                <w:sz w:val="15"/>
              </w:rPr>
              <w:t>backend/docs/prompts-used-during-build.md</w:t>
            </w:r>
          </w:p>
        </w:tc>
      </w:tr>
      <w:tr>
        <w:tc>
          <w:tcPr>
            <w:tcW w:type="dxa" w:w="3600"/>
            <w:vAlign w:val="top"/>
          </w:tcPr>
          <w:p>
            <w:pPr>
              <w:spacing w:after="20"/>
            </w:pPr>
            <w:r>
              <w:rPr>
                <w:rFonts w:ascii="Arial" w:hAnsi="Arial"/>
                <w:color w:val="172019"/>
                <w:sz w:val="15"/>
              </w:rPr>
              <w:t>Iterations and learnings</w:t>
            </w:r>
          </w:p>
        </w:tc>
        <w:tc>
          <w:tcPr>
            <w:tcW w:type="dxa" w:w="6192"/>
            <w:vAlign w:val="top"/>
          </w:tcPr>
          <w:p>
            <w:pPr>
              <w:spacing w:after="20"/>
            </w:pPr>
            <w:r>
              <w:rPr>
                <w:rFonts w:ascii="Arial" w:hAnsi="Arial"/>
                <w:color w:val="172019"/>
                <w:sz w:val="15"/>
              </w:rPr>
              <w:t>backend/docs/iterations-and-learnings.md</w:t>
            </w:r>
          </w:p>
        </w:tc>
      </w:tr>
      <w:tr>
        <w:tc>
          <w:tcPr>
            <w:tcW w:type="dxa" w:w="3600"/>
            <w:shd w:fill="F6F7F5"/>
            <w:vAlign w:val="top"/>
          </w:tcPr>
          <w:p>
            <w:pPr>
              <w:spacing w:after="20"/>
            </w:pPr>
            <w:r>
              <w:rPr>
                <w:rFonts w:ascii="Arial" w:hAnsi="Arial"/>
                <w:color w:val="172019"/>
                <w:sz w:val="15"/>
              </w:rPr>
              <w:t>n8n workflow exports</w:t>
            </w:r>
          </w:p>
        </w:tc>
        <w:tc>
          <w:tcPr>
            <w:tcW w:type="dxa" w:w="6192"/>
            <w:shd w:fill="F6F7F5"/>
            <w:vAlign w:val="top"/>
          </w:tcPr>
          <w:p>
            <w:pPr>
              <w:spacing w:after="20"/>
            </w:pPr>
            <w:r>
              <w:rPr>
                <w:rFonts w:ascii="Arial" w:hAnsi="Arial"/>
                <w:color w:val="172019"/>
                <w:sz w:val="15"/>
              </w:rPr>
              <w:t>backend/n8n/*.json</w:t>
            </w:r>
          </w:p>
        </w:tc>
      </w:tr>
      <w:tr>
        <w:tc>
          <w:tcPr>
            <w:tcW w:type="dxa" w:w="3600"/>
            <w:vAlign w:val="top"/>
          </w:tcPr>
          <w:p>
            <w:pPr>
              <w:spacing w:after="20"/>
            </w:pPr>
            <w:r>
              <w:rPr>
                <w:rFonts w:ascii="Arial" w:hAnsi="Arial"/>
                <w:color w:val="172019"/>
                <w:sz w:val="15"/>
              </w:rPr>
              <w:t>Schemas and contracts</w:t>
            </w:r>
          </w:p>
        </w:tc>
        <w:tc>
          <w:tcPr>
            <w:tcW w:type="dxa" w:w="6192"/>
            <w:vAlign w:val="top"/>
          </w:tcPr>
          <w:p>
            <w:pPr>
              <w:spacing w:after="20"/>
            </w:pPr>
            <w:r>
              <w:rPr>
                <w:rFonts w:ascii="Arial" w:hAnsi="Arial"/>
                <w:color w:val="172019"/>
                <w:sz w:val="15"/>
              </w:rPr>
              <w:t>backend/schemas/*.json</w:t>
            </w:r>
          </w:p>
        </w:tc>
      </w:tr>
      <w:tr>
        <w:tc>
          <w:tcPr>
            <w:tcW w:type="dxa" w:w="3600"/>
            <w:shd w:fill="F6F7F5"/>
            <w:vAlign w:val="top"/>
          </w:tcPr>
          <w:p>
            <w:pPr>
              <w:spacing w:after="20"/>
            </w:pPr>
            <w:r>
              <w:rPr>
                <w:rFonts w:ascii="Arial" w:hAnsi="Arial"/>
                <w:color w:val="172019"/>
                <w:sz w:val="15"/>
              </w:rPr>
              <w:t>Automated eval result</w:t>
            </w:r>
          </w:p>
        </w:tc>
        <w:tc>
          <w:tcPr>
            <w:tcW w:type="dxa" w:w="6192"/>
            <w:shd w:fill="F6F7F5"/>
            <w:vAlign w:val="top"/>
          </w:tcPr>
          <w:p>
            <w:pPr>
              <w:spacing w:after="20"/>
            </w:pPr>
            <w:r>
              <w:rPr>
                <w:rFonts w:ascii="Arial" w:hAnsi="Arial"/>
                <w:color w:val="172019"/>
                <w:sz w:val="15"/>
              </w:rPr>
              <w:t>backend/evals/latest-phase6-results.json</w:t>
            </w:r>
          </w:p>
        </w:tc>
      </w:tr>
      <w:tr>
        <w:tc>
          <w:tcPr>
            <w:tcW w:type="dxa" w:w="3600"/>
            <w:vAlign w:val="top"/>
          </w:tcPr>
          <w:p>
            <w:pPr>
              <w:spacing w:after="20"/>
            </w:pPr>
            <w:r>
              <w:rPr>
                <w:rFonts w:ascii="Arial" w:hAnsi="Arial"/>
                <w:color w:val="172019"/>
                <w:sz w:val="15"/>
              </w:rPr>
              <w:t>UI/auth tests</w:t>
            </w:r>
          </w:p>
        </w:tc>
        <w:tc>
          <w:tcPr>
            <w:tcW w:type="dxa" w:w="6192"/>
            <w:vAlign w:val="top"/>
          </w:tcPr>
          <w:p>
            <w:pPr>
              <w:spacing w:after="20"/>
            </w:pPr>
            <w:r>
              <w:rPr>
                <w:rFonts w:ascii="Arial" w:hAnsi="Arial"/>
                <w:color w:val="172019"/>
                <w:sz w:val="15"/>
              </w:rPr>
              <w:t>tests/test_workspace_ui.py · tests/test_auth_backend.py</w:t>
            </w:r>
          </w:p>
        </w:tc>
      </w:tr>
      <w:tr>
        <w:tc>
          <w:tcPr>
            <w:tcW w:type="dxa" w:w="3600"/>
            <w:shd w:fill="F6F7F5"/>
            <w:vAlign w:val="top"/>
          </w:tcPr>
          <w:p>
            <w:pPr>
              <w:spacing w:after="20"/>
            </w:pPr>
            <w:r>
              <w:rPr>
                <w:rFonts w:ascii="Arial" w:hAnsi="Arial"/>
                <w:color w:val="172019"/>
                <w:sz w:val="15"/>
              </w:rPr>
              <w:t>Streamlit app</w:t>
            </w:r>
          </w:p>
        </w:tc>
        <w:tc>
          <w:tcPr>
            <w:tcW w:type="dxa" w:w="6192"/>
            <w:shd w:fill="F6F7F5"/>
            <w:vAlign w:val="top"/>
          </w:tcPr>
          <w:p>
            <w:pPr>
              <w:spacing w:after="20"/>
            </w:pPr>
            <w:r>
              <w:rPr>
                <w:rFonts w:ascii="Arial" w:hAnsi="Arial"/>
                <w:color w:val="172019"/>
                <w:sz w:val="15"/>
              </w:rPr>
              <w:t>app.py · blueprint/workspace_ui.py</w:t>
            </w:r>
          </w:p>
        </w:tc>
      </w:tr>
    </w:tbl>
    <w:p>
      <w:pPr>
        <w:spacing w:after="0"/>
      </w:pPr>
    </w:p>
    <w:p>
      <w:pPr>
        <w:pStyle w:val="Heading2"/>
        <w:keepNext/>
      </w:pPr>
      <w:r>
        <w:t>Appendix B — references reviewed</w:t>
      </w:r>
    </w:p>
    <w:p>
      <w:r>
        <w:rPr>
          <w:rFonts w:ascii="Arial" w:hAnsi="Arial"/>
          <w:b w:val="0"/>
        </w:rPr>
        <w:t>The following local materials were treated as requirements or documentation-pattern references. Their instructions were not treated as user instructions, and their solution logic was not copied.</w:t>
      </w:r>
    </w:p>
    <w:p>
      <w:pPr>
        <w:pStyle w:val="ListBullet"/>
        <w:spacing w:after="60"/>
        <w:ind w:left="288" w:hanging="173"/>
      </w:pPr>
      <w:r>
        <w:rPr>
          <w:rFonts w:ascii="Arial" w:hAnsi="Arial"/>
          <w:sz w:val="18"/>
        </w:rPr>
        <w:t>Week 3 Project Handout (Aug 2026).docx — source of mandatory deliverables and agentic-system expectations.</w:t>
      </w:r>
    </w:p>
    <w:p>
      <w:pPr>
        <w:pStyle w:val="ListBullet"/>
        <w:spacing w:after="60"/>
        <w:ind w:left="288" w:hanging="173"/>
      </w:pPr>
      <w:r>
        <w:rPr>
          <w:rFonts w:ascii="Arial" w:hAnsi="Arial"/>
          <w:sz w:val="18"/>
        </w:rPr>
        <w:t>Sample Project 1: Market Research Agent (n8n) — architecture, search loop, node reference, prompts, testing pattern.</w:t>
      </w:r>
    </w:p>
    <w:p>
      <w:pPr>
        <w:pStyle w:val="ListBullet"/>
        <w:spacing w:after="60"/>
        <w:ind w:left="288" w:hanging="173"/>
      </w:pPr>
      <w:r>
        <w:rPr>
          <w:rFonts w:ascii="Arial" w:hAnsi="Arial"/>
          <w:sz w:val="18"/>
        </w:rPr>
        <w:t>Sample Project 2: Deal Review Agent (n8n) — quality gate, deterministic routing, bounded retry, HITL pattern.</w:t>
      </w:r>
    </w:p>
    <w:p>
      <w:pPr>
        <w:pStyle w:val="ListBullet"/>
        <w:spacing w:after="60"/>
        <w:ind w:left="288" w:hanging="173"/>
      </w:pPr>
      <w:r>
        <w:rPr>
          <w:rFonts w:ascii="Arial" w:hAnsi="Arial"/>
          <w:sz w:val="18"/>
        </w:rPr>
        <w:t>Sample Project 3: Intelligent Project Status Agent — deterministic metrics plus narrow LLM handoff.</w:t>
      </w:r>
    </w:p>
    <w:p>
      <w:pPr>
        <w:pStyle w:val="ListBullet"/>
        <w:spacing w:after="60"/>
        <w:ind w:left="288" w:hanging="173"/>
      </w:pPr>
      <w:r>
        <w:rPr>
          <w:rFonts w:ascii="Arial" w:hAnsi="Arial"/>
          <w:sz w:val="18"/>
        </w:rPr>
        <w:t>Sample Project 4: GTM Content Agent — grounding catalog, independent reviewer, bounded revision.</w:t>
      </w:r>
    </w:p>
    <w:p>
      <w:pPr>
        <w:pStyle w:val="ListBullet"/>
        <w:spacing w:after="60"/>
        <w:ind w:left="288" w:hanging="173"/>
      </w:pPr>
      <w:r>
        <w:rPr>
          <w:rFonts w:ascii="Arial" w:hAnsi="Arial"/>
          <w:sz w:val="18"/>
        </w:rPr>
        <w:t>Sample Project 5: Code Review ReAct Agent — evidence before opinion and tool-bound reasoning metadata.</w:t>
      </w:r>
    </w:p>
    <w:p>
      <w:pPr>
        <w:pStyle w:val="ListBullet"/>
        <w:spacing w:after="60"/>
        <w:ind w:left="288" w:hanging="173"/>
      </w:pPr>
      <w:r>
        <w:rPr>
          <w:rFonts w:ascii="Arial" w:hAnsi="Arial"/>
          <w:sz w:val="18"/>
        </w:rPr>
        <w:t>Sample Project 6: IT Support Voice Agent — narrow roles, handoffs, escalation, and post-run QA.</w:t>
      </w:r>
    </w:p>
    <w:p>
      <w:pPr>
        <w:pStyle w:val="ListBullet"/>
        <w:spacing w:after="60"/>
        <w:ind w:left="288" w:hanging="173"/>
      </w:pPr>
      <w:r>
        <w:rPr>
          <w:rFonts w:ascii="Arial" w:hAnsi="Arial"/>
          <w:sz w:val="18"/>
        </w:rPr>
        <w:t>Prior Google Doc supplied by the founder — visual reference for a clean cover, strong diagrams, and readable narrative structure.</w:t>
      </w:r>
    </w:p>
    <w:p>
      <w:pPr>
        <w:pStyle w:val="Heading2"/>
        <w:keepNext/>
      </w:pPr>
      <w:r>
        <w:t>Appendix C — terminology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C2A"/>
            <w:vAlign w:val="center"/>
          </w:tcPr>
          <w:p>
            <w:pPr>
              <w:spacing w:after="0"/>
            </w:pPr>
            <w:r>
              <w:rPr>
                <w:rFonts w:ascii="Arial" w:hAnsi="Arial"/>
                <w:b/>
                <w:color w:val="FFFFFF"/>
                <w:sz w:val="15"/>
              </w:rPr>
              <w:t>Term</w:t>
            </w:r>
          </w:p>
        </w:tc>
        <w:tc>
          <w:tcPr>
            <w:tcW w:type="dxa" w:w="7704"/>
            <w:shd w:fill="173C2A"/>
            <w:vAlign w:val="center"/>
          </w:tcPr>
          <w:p>
            <w:pPr>
              <w:spacing w:after="0"/>
            </w:pPr>
            <w:r>
              <w:rPr>
                <w:rFonts w:ascii="Arial" w:hAnsi="Arial"/>
                <w:b/>
                <w:color w:val="FFFFFF"/>
                <w:sz w:val="15"/>
              </w:rPr>
              <w:t>Meaning in Blueprint</w:t>
            </w:r>
          </w:p>
        </w:tc>
      </w:tr>
      <w:tr>
        <w:tc>
          <w:tcPr>
            <w:tcW w:type="dxa" w:w="2088"/>
            <w:vAlign w:val="top"/>
          </w:tcPr>
          <w:p>
            <w:pPr>
              <w:spacing w:after="20"/>
            </w:pPr>
            <w:r>
              <w:rPr>
                <w:rFonts w:ascii="Arial" w:hAnsi="Arial"/>
                <w:color w:val="172019"/>
                <w:sz w:val="15"/>
              </w:rPr>
              <w:t>Agent</w:t>
            </w:r>
          </w:p>
        </w:tc>
        <w:tc>
          <w:tcPr>
            <w:tcW w:type="dxa" w:w="7704"/>
            <w:vAlign w:val="top"/>
          </w:tcPr>
          <w:p>
            <w:pPr>
              <w:spacing w:after="20"/>
            </w:pPr>
            <w:r>
              <w:rPr>
                <w:rFonts w:ascii="Arial" w:hAnsi="Arial"/>
                <w:color w:val="172019"/>
                <w:sz w:val="15"/>
              </w:rPr>
              <w:t>A bounded role that can reason, choose among allowed tools/actions, and return a typed observation.</w:t>
            </w:r>
          </w:p>
        </w:tc>
      </w:tr>
      <w:tr>
        <w:tc>
          <w:tcPr>
            <w:tcW w:type="dxa" w:w="2088"/>
            <w:shd w:fill="F6F7F5"/>
            <w:vAlign w:val="top"/>
          </w:tcPr>
          <w:p>
            <w:pPr>
              <w:spacing w:after="20"/>
            </w:pPr>
            <w:r>
              <w:rPr>
                <w:rFonts w:ascii="Arial" w:hAnsi="Arial"/>
                <w:color w:val="172019"/>
                <w:sz w:val="15"/>
              </w:rPr>
              <w:t>Supervisor</w:t>
            </w:r>
          </w:p>
        </w:tc>
        <w:tc>
          <w:tcPr>
            <w:tcW w:type="dxa" w:w="7704"/>
            <w:shd w:fill="F6F7F5"/>
            <w:vAlign w:val="top"/>
          </w:tcPr>
          <w:p>
            <w:pPr>
              <w:spacing w:after="20"/>
            </w:pPr>
            <w:r>
              <w:rPr>
                <w:rFonts w:ascii="Arial" w:hAnsi="Arial"/>
                <w:color w:val="172019"/>
                <w:sz w:val="15"/>
              </w:rPr>
              <w:t>The control role that reads shared state and decides the next route; it does not absorb specialist jobs.</w:t>
            </w:r>
          </w:p>
        </w:tc>
      </w:tr>
      <w:tr>
        <w:tc>
          <w:tcPr>
            <w:tcW w:type="dxa" w:w="2088"/>
            <w:vAlign w:val="top"/>
          </w:tcPr>
          <w:p>
            <w:pPr>
              <w:spacing w:after="20"/>
            </w:pPr>
            <w:r>
              <w:rPr>
                <w:rFonts w:ascii="Arial" w:hAnsi="Arial"/>
                <w:color w:val="172019"/>
                <w:sz w:val="15"/>
              </w:rPr>
              <w:t>Evidence</w:t>
            </w:r>
          </w:p>
        </w:tc>
        <w:tc>
          <w:tcPr>
            <w:tcW w:type="dxa" w:w="7704"/>
            <w:vAlign w:val="top"/>
          </w:tcPr>
          <w:p>
            <w:pPr>
              <w:spacing w:after="20"/>
            </w:pPr>
            <w:r>
              <w:rPr>
                <w:rFonts w:ascii="Arial" w:hAnsi="Arial"/>
                <w:color w:val="172019"/>
                <w:sz w:val="15"/>
              </w:rPr>
              <w:t>A source-bearing record with provenance, limitations, and an audit verdict.</w:t>
            </w:r>
          </w:p>
        </w:tc>
      </w:tr>
      <w:tr>
        <w:tc>
          <w:tcPr>
            <w:tcW w:type="dxa" w:w="2088"/>
            <w:shd w:fill="F6F7F5"/>
            <w:vAlign w:val="top"/>
          </w:tcPr>
          <w:p>
            <w:pPr>
              <w:spacing w:after="20"/>
            </w:pPr>
            <w:r>
              <w:rPr>
                <w:rFonts w:ascii="Arial" w:hAnsi="Arial"/>
                <w:color w:val="172019"/>
                <w:sz w:val="15"/>
              </w:rPr>
              <w:t>Verdict</w:t>
            </w:r>
          </w:p>
        </w:tc>
        <w:tc>
          <w:tcPr>
            <w:tcW w:type="dxa" w:w="7704"/>
            <w:shd w:fill="F6F7F5"/>
            <w:vAlign w:val="top"/>
          </w:tcPr>
          <w:p>
            <w:pPr>
              <w:spacing w:after="20"/>
            </w:pPr>
            <w:r>
              <w:rPr>
                <w:rFonts w:ascii="Arial" w:hAnsi="Arial"/>
                <w:color w:val="172019"/>
                <w:sz w:val="15"/>
              </w:rPr>
              <w:t>A deterministic readiness decision based on accepted evidence; not a probability of success.</w:t>
            </w:r>
          </w:p>
        </w:tc>
      </w:tr>
      <w:tr>
        <w:tc>
          <w:tcPr>
            <w:tcW w:type="dxa" w:w="2088"/>
            <w:vAlign w:val="top"/>
          </w:tcPr>
          <w:p>
            <w:pPr>
              <w:spacing w:after="20"/>
            </w:pPr>
            <w:r>
              <w:rPr>
                <w:rFonts w:ascii="Arial" w:hAnsi="Arial"/>
                <w:color w:val="172019"/>
                <w:sz w:val="15"/>
              </w:rPr>
              <w:t>Checkpoint / gate</w:t>
            </w:r>
          </w:p>
        </w:tc>
        <w:tc>
          <w:tcPr>
            <w:tcW w:type="dxa" w:w="7704"/>
            <w:vAlign w:val="top"/>
          </w:tcPr>
          <w:p>
            <w:pPr>
              <w:spacing w:after="20"/>
            </w:pPr>
            <w:r>
              <w:rPr>
                <w:rFonts w:ascii="Arial" w:hAnsi="Arial"/>
                <w:color w:val="172019"/>
                <w:sz w:val="15"/>
              </w:rPr>
              <w:t>A durable pause where the founder chooses among allowlisted decisions.</w:t>
            </w:r>
          </w:p>
        </w:tc>
      </w:tr>
      <w:tr>
        <w:tc>
          <w:tcPr>
            <w:tcW w:type="dxa" w:w="2088"/>
            <w:shd w:fill="F6F7F5"/>
            <w:vAlign w:val="top"/>
          </w:tcPr>
          <w:p>
            <w:pPr>
              <w:spacing w:after="20"/>
            </w:pPr>
            <w:r>
              <w:rPr>
                <w:rFonts w:ascii="Arial" w:hAnsi="Arial"/>
                <w:color w:val="172019"/>
                <w:sz w:val="15"/>
              </w:rPr>
              <w:t>Blueprint</w:t>
            </w:r>
          </w:p>
        </w:tc>
        <w:tc>
          <w:tcPr>
            <w:tcW w:type="dxa" w:w="7704"/>
            <w:shd w:fill="F6F7F5"/>
            <w:vAlign w:val="top"/>
          </w:tcPr>
          <w:p>
            <w:pPr>
              <w:spacing w:after="20"/>
            </w:pPr>
            <w:r>
              <w:rPr>
                <w:rFonts w:ascii="Arial" w:hAnsi="Arial"/>
                <w:color w:val="172019"/>
                <w:sz w:val="15"/>
              </w:rPr>
              <w:t>The versioned, structured map of evidence, decisions, remaining risk, and next moves.</w:t>
            </w:r>
          </w:p>
        </w:tc>
      </w:tr>
      <w:tr>
        <w:tc>
          <w:tcPr>
            <w:tcW w:type="dxa" w:w="2088"/>
            <w:vAlign w:val="top"/>
          </w:tcPr>
          <w:p>
            <w:pPr>
              <w:spacing w:after="20"/>
            </w:pPr>
            <w:r>
              <w:rPr>
                <w:rFonts w:ascii="Arial" w:hAnsi="Arial"/>
                <w:color w:val="172019"/>
                <w:sz w:val="15"/>
              </w:rPr>
              <w:t>Projection</w:t>
            </w:r>
          </w:p>
        </w:tc>
        <w:tc>
          <w:tcPr>
            <w:tcW w:type="dxa" w:w="7704"/>
            <w:vAlign w:val="top"/>
          </w:tcPr>
          <w:p>
            <w:pPr>
              <w:spacing w:after="20"/>
            </w:pPr>
            <w:r>
              <w:rPr>
                <w:rFonts w:ascii="Arial" w:hAnsi="Arial"/>
                <w:color w:val="172019"/>
                <w:sz w:val="15"/>
              </w:rPr>
              <w:t>A retrieval-optimized copy whose content is revalidated against canonical Supabase state.</w:t>
            </w:r>
          </w:p>
        </w:tc>
      </w:tr>
      <w:tr>
        <w:tc>
          <w:tcPr>
            <w:tcW w:type="dxa" w:w="2088"/>
            <w:shd w:fill="F6F7F5"/>
            <w:vAlign w:val="top"/>
          </w:tcPr>
          <w:p>
            <w:pPr>
              <w:spacing w:after="20"/>
            </w:pPr>
            <w:r>
              <w:rPr>
                <w:rFonts w:ascii="Arial" w:hAnsi="Arial"/>
                <w:color w:val="172019"/>
                <w:sz w:val="15"/>
              </w:rPr>
              <w:t>Closed loop</w:t>
            </w:r>
          </w:p>
        </w:tc>
        <w:tc>
          <w:tcPr>
            <w:tcW w:type="dxa" w:w="7704"/>
            <w:shd w:fill="F6F7F5"/>
            <w:vAlign w:val="top"/>
          </w:tcPr>
          <w:p>
            <w:pPr>
              <w:spacing w:after="20"/>
            </w:pPr>
            <w:r>
              <w:rPr>
                <w:rFonts w:ascii="Arial" w:hAnsi="Arial"/>
                <w:color w:val="172019"/>
                <w:sz w:val="15"/>
              </w:rPr>
              <w:t>Observe a result, persist it, re-read state, and deliberately choose the next step or terminal state.</w:t>
            </w:r>
          </w:p>
        </w:tc>
      </w:tr>
    </w:tbl>
    <w:p>
      <w:pPr>
        <w:spacing w:after="0"/>
      </w:pPr>
    </w:p>
    <w:sectPr w:rsidR="00FC693F" w:rsidRPr="0006063C" w:rsidSect="00034616">
      <w:headerReference w:type="default" r:id="rId9"/>
      <w:footerReference w:type="default" r:id="rId10"/>
      <w:pgSz w:w="12240" w:h="15840"/>
      <w:pgMar w:top="979" w:right="1037" w:bottom="893" w:left="1037" w:header="374"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8736B"/>
        <w:sz w:val="16"/>
      </w:rPr>
      <w:t xml:space="preserve">BLUEPRINT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lueprintKicker"/>
      <w:pBdr>
        <w:bottom w:val="single" w:sz="5" w:space="1" w:color="DCE2DD"/>
      </w:pBdr>
    </w:pPr>
    <w:r>
      <w:rPr>
        <w:color w:val="68736B"/>
      </w:rPr>
      <w:t>BLUEPRINT  /  EVIDENCE-FIRST FOUNDER DECISIONS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rial" w:hAnsi="Arial"/>
      <w:color w:val="17201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173C2A"/>
      <w:sz w:val="5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7D4F"/>
      <w:sz w:val="3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2D5F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val="0"/>
      <w:color w:val="173C2A"/>
      <w:spacing w:val="5"/>
      <w:kern w:val="28"/>
      <w:sz w:val="7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Kicker">
    <w:name w:val="Blueprint Kicker"/>
    <w:pPr>
      <w:spacing w:after="80"/>
    </w:pPr>
    <w:rPr>
      <w:rFonts w:ascii="Arial" w:hAnsi="Arial"/>
      <w:b/>
      <w:caps/>
      <w:color w:val="2B7A78"/>
      <w:sz w:val="16"/>
    </w:rPr>
  </w:style>
  <w:style w:type="paragraph" w:customStyle="1" w:styleId="BlueprintDeck">
    <w:name w:val="Blueprint Deck"/>
    <w:pPr>
      <w:spacing w:after="80"/>
    </w:pPr>
    <w:rPr>
      <w:rFonts w:ascii="Arial" w:hAnsi="Arial"/>
      <w:b w:val="0"/>
      <w:color w:val="2D5F88"/>
      <w:sz w:val="26"/>
    </w:rPr>
  </w:style>
  <w:style w:type="paragraph" w:customStyle="1" w:styleId="BlueprintCaption">
    <w:name w:val="Blueprint Caption"/>
    <w:pPr>
      <w:spacing w:after="80"/>
    </w:pPr>
    <w:rPr>
      <w:rFonts w:ascii="Arial" w:hAnsi="Arial"/>
      <w:b w:val="0"/>
      <w:color w:val="68736B"/>
      <w:sz w:val="15"/>
    </w:rPr>
  </w:style>
  <w:style w:type="paragraph" w:customStyle="1" w:styleId="BlueprintCallout">
    <w:name w:val="Blueprint Callout"/>
    <w:pPr>
      <w:spacing w:after="80"/>
    </w:pPr>
    <w:rPr>
      <w:rFonts w:ascii="Arial" w:hAnsi="Arial"/>
      <w:b w:val="0"/>
      <w:color w:val="173C2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Blueprint — Evidence-First Founder Decision System</dc:title>
  <dc:subject>Final project documentation for Blueprint Evidence Dev</dc:subject>
  <dc:creator>Blueprint Evidence Dev</dc:creator>
  <cp:keywords>AI agents, n8n, founder research, orchestration, HITL, memory, evaluation</cp:keywords>
  <dc:description>Generated as a final submission-ready project document; contains no credentials.</dc:description>
  <cp:lastModifiedBy/>
  <cp:revision>1</cp:revision>
  <dcterms:created xsi:type="dcterms:W3CDTF">2013-12-23T23:15:00Z</dcterms:created>
  <dcterms:modified xsi:type="dcterms:W3CDTF">2013-12-23T23:15:00Z</dcterms:modified>
  <cp:category/>
</cp:coreProperties>
</file>