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BF1" w:rsidRDefault="003C551D" w:rsidP="003C551D">
      <w:pPr>
        <w:jc w:val="center"/>
        <w:rPr>
          <w:sz w:val="40"/>
          <w:szCs w:val="40"/>
        </w:rPr>
      </w:pPr>
      <w:r>
        <w:rPr>
          <w:sz w:val="40"/>
          <w:szCs w:val="40"/>
        </w:rPr>
        <w:t>Patryk Kozioł</w:t>
      </w:r>
    </w:p>
    <w:p w:rsidR="003C551D" w:rsidRDefault="003C551D" w:rsidP="003C551D">
      <w:pPr>
        <w:jc w:val="center"/>
        <w:rPr>
          <w:sz w:val="40"/>
          <w:szCs w:val="40"/>
        </w:rPr>
      </w:pPr>
      <w:r>
        <w:rPr>
          <w:sz w:val="40"/>
          <w:szCs w:val="40"/>
        </w:rPr>
        <w:t>221610</w:t>
      </w:r>
    </w:p>
    <w:p w:rsidR="003C551D" w:rsidRDefault="003C551D" w:rsidP="003C551D">
      <w:pPr>
        <w:jc w:val="center"/>
        <w:rPr>
          <w:sz w:val="40"/>
          <w:szCs w:val="40"/>
        </w:rPr>
      </w:pPr>
      <w:r>
        <w:rPr>
          <w:sz w:val="40"/>
          <w:szCs w:val="40"/>
        </w:rPr>
        <w:t>Wybrane aspekty optymalizacji w grach</w:t>
      </w:r>
    </w:p>
    <w:p w:rsidR="00A62C3E" w:rsidRDefault="00A62C3E" w:rsidP="003C551D">
      <w:pPr>
        <w:jc w:val="center"/>
        <w:rPr>
          <w:sz w:val="40"/>
          <w:szCs w:val="40"/>
        </w:rPr>
      </w:pPr>
      <w:r>
        <w:rPr>
          <w:sz w:val="40"/>
          <w:szCs w:val="40"/>
        </w:rPr>
        <w:t>Optymalizacja aplikacji Renderer</w:t>
      </w:r>
    </w:p>
    <w:tbl>
      <w:tblPr>
        <w:tblStyle w:val="Tabela-Siatka"/>
        <w:tblW w:w="11051" w:type="dxa"/>
        <w:tblInd w:w="-1139" w:type="dxa"/>
        <w:tblLook w:val="04A0" w:firstRow="1" w:lastRow="0" w:firstColumn="1" w:lastColumn="0" w:noHBand="0" w:noVBand="1"/>
      </w:tblPr>
      <w:tblGrid>
        <w:gridCol w:w="1985"/>
        <w:gridCol w:w="1938"/>
        <w:gridCol w:w="1857"/>
        <w:gridCol w:w="1834"/>
        <w:gridCol w:w="1642"/>
        <w:gridCol w:w="1795"/>
      </w:tblGrid>
      <w:tr w:rsidR="006C3A87" w:rsidRPr="003C551D" w:rsidTr="00A62C3E">
        <w:tc>
          <w:tcPr>
            <w:tcW w:w="1985" w:type="dxa"/>
          </w:tcPr>
          <w:p w:rsidR="006C3A87" w:rsidRPr="006C3A87" w:rsidRDefault="006C3A87" w:rsidP="00A62C3E">
            <w:pPr>
              <w:rPr>
                <w:b/>
                <w:sz w:val="24"/>
                <w:szCs w:val="24"/>
                <w:u w:val="single"/>
              </w:rPr>
            </w:pPr>
            <w:r w:rsidRPr="006C3A87">
              <w:rPr>
                <w:b/>
                <w:sz w:val="24"/>
                <w:szCs w:val="24"/>
                <w:u w:val="single"/>
              </w:rPr>
              <w:t>Opis funkcji przed optymalizacją:</w:t>
            </w:r>
          </w:p>
        </w:tc>
        <w:tc>
          <w:tcPr>
            <w:tcW w:w="1938" w:type="dxa"/>
          </w:tcPr>
          <w:p w:rsidR="006C3A87" w:rsidRPr="006C3A87" w:rsidRDefault="006C3A87" w:rsidP="00A62C3E">
            <w:pPr>
              <w:rPr>
                <w:b/>
                <w:sz w:val="24"/>
                <w:szCs w:val="24"/>
                <w:u w:val="single"/>
              </w:rPr>
            </w:pPr>
            <w:r w:rsidRPr="006C3A87">
              <w:rPr>
                <w:b/>
                <w:sz w:val="24"/>
                <w:szCs w:val="24"/>
                <w:u w:val="single"/>
              </w:rPr>
              <w:t>Średni czas przed optymalizacją w ms – 20 prób.</w:t>
            </w:r>
          </w:p>
        </w:tc>
        <w:tc>
          <w:tcPr>
            <w:tcW w:w="1857" w:type="dxa"/>
          </w:tcPr>
          <w:p w:rsidR="006C3A87" w:rsidRPr="006C3A87" w:rsidRDefault="006C3A87" w:rsidP="00A62C3E">
            <w:pPr>
              <w:rPr>
                <w:b/>
                <w:sz w:val="24"/>
                <w:szCs w:val="24"/>
                <w:u w:val="single"/>
              </w:rPr>
            </w:pPr>
            <w:r w:rsidRPr="006C3A87">
              <w:rPr>
                <w:b/>
                <w:sz w:val="24"/>
                <w:szCs w:val="24"/>
                <w:u w:val="single"/>
              </w:rPr>
              <w:t>Opis funkcji po optymalizacji:</w:t>
            </w:r>
          </w:p>
        </w:tc>
        <w:tc>
          <w:tcPr>
            <w:tcW w:w="1834" w:type="dxa"/>
          </w:tcPr>
          <w:p w:rsidR="006C3A87" w:rsidRPr="006C3A87" w:rsidRDefault="006C3A87" w:rsidP="00A62C3E">
            <w:pPr>
              <w:rPr>
                <w:b/>
                <w:sz w:val="24"/>
                <w:szCs w:val="24"/>
                <w:u w:val="single"/>
              </w:rPr>
            </w:pPr>
            <w:r w:rsidRPr="006C3A87">
              <w:rPr>
                <w:b/>
                <w:sz w:val="24"/>
                <w:szCs w:val="24"/>
                <w:u w:val="single"/>
              </w:rPr>
              <w:t>Średni czas po optymalizacji w ms – 20 prób.</w:t>
            </w:r>
          </w:p>
        </w:tc>
        <w:tc>
          <w:tcPr>
            <w:tcW w:w="1642" w:type="dxa"/>
          </w:tcPr>
          <w:p w:rsidR="006C3A87" w:rsidRPr="006C3A87" w:rsidRDefault="006C3A87" w:rsidP="00A62C3E">
            <w:pPr>
              <w:rPr>
                <w:b/>
                <w:sz w:val="24"/>
                <w:szCs w:val="24"/>
                <w:u w:val="single"/>
              </w:rPr>
            </w:pPr>
            <w:r w:rsidRPr="006C3A87">
              <w:rPr>
                <w:b/>
                <w:sz w:val="24"/>
                <w:szCs w:val="24"/>
                <w:u w:val="single"/>
              </w:rPr>
              <w:t>Procent zysku czasowego po optymalizacji:</w:t>
            </w:r>
          </w:p>
        </w:tc>
        <w:tc>
          <w:tcPr>
            <w:tcW w:w="1795" w:type="dxa"/>
          </w:tcPr>
          <w:p w:rsidR="006C3A87" w:rsidRPr="006C3A87" w:rsidRDefault="006C3A87" w:rsidP="00A62C3E">
            <w:pPr>
              <w:rPr>
                <w:b/>
                <w:sz w:val="24"/>
                <w:szCs w:val="24"/>
                <w:u w:val="single"/>
              </w:rPr>
            </w:pPr>
            <w:r w:rsidRPr="006C3A87">
              <w:rPr>
                <w:b/>
                <w:sz w:val="24"/>
                <w:szCs w:val="24"/>
                <w:u w:val="single"/>
              </w:rPr>
              <w:t>Użyty obiekt do testowania:</w:t>
            </w:r>
          </w:p>
        </w:tc>
      </w:tr>
      <w:tr w:rsidR="006C3A87" w:rsidRPr="003C551D" w:rsidTr="00A62C3E">
        <w:tc>
          <w:tcPr>
            <w:tcW w:w="1985" w:type="dxa"/>
          </w:tcPr>
          <w:p w:rsidR="006C3A87" w:rsidRPr="003C551D" w:rsidRDefault="006C3A87" w:rsidP="006C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Własne metody getMax i getMin w klasie Triangle.</w:t>
            </w:r>
          </w:p>
        </w:tc>
        <w:tc>
          <w:tcPr>
            <w:tcW w:w="1938" w:type="dxa"/>
          </w:tcPr>
          <w:p w:rsidR="006C3A87" w:rsidRDefault="006C3A87" w:rsidP="00A62C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11182,5</w:t>
            </w:r>
          </w:p>
          <w:p w:rsidR="006C3A87" w:rsidRPr="003C551D" w:rsidRDefault="006C3A87" w:rsidP="00A62C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:rsidR="006C3A87" w:rsidRPr="003C551D" w:rsidRDefault="006C3A87" w:rsidP="006C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Wbydowane funkcje Math.max i Math.min</w:t>
            </w:r>
          </w:p>
        </w:tc>
        <w:tc>
          <w:tcPr>
            <w:tcW w:w="1834" w:type="dxa"/>
          </w:tcPr>
          <w:p w:rsidR="006C3A87" w:rsidRDefault="006C3A87" w:rsidP="00A62C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6291</w:t>
            </w:r>
          </w:p>
          <w:p w:rsidR="006C3A87" w:rsidRPr="003C551D" w:rsidRDefault="006C3A87" w:rsidP="00A62C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6C3A87" w:rsidRDefault="006C3A87" w:rsidP="00A62C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43,74</w:t>
            </w:r>
          </w:p>
          <w:p w:rsidR="006C3A87" w:rsidRPr="003C551D" w:rsidRDefault="006C3A87" w:rsidP="00A62C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</w:tcPr>
          <w:p w:rsidR="006C3A87" w:rsidRPr="003C551D" w:rsidRDefault="006C3A87" w:rsidP="00A62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czajnik.obj</w:t>
            </w:r>
          </w:p>
        </w:tc>
      </w:tr>
      <w:tr w:rsidR="006C3A87" w:rsidRPr="003C551D" w:rsidTr="00A62C3E">
        <w:tc>
          <w:tcPr>
            <w:tcW w:w="1985" w:type="dxa"/>
          </w:tcPr>
          <w:p w:rsidR="006C3A87" w:rsidRPr="003C551D" w:rsidRDefault="006C3A87" w:rsidP="003C551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Użycie listy do przechowywania obiektów w klasie Painting.</w:t>
            </w:r>
          </w:p>
        </w:tc>
        <w:tc>
          <w:tcPr>
            <w:tcW w:w="1938" w:type="dxa"/>
          </w:tcPr>
          <w:p w:rsidR="006C3A87" w:rsidRDefault="006C3A87" w:rsidP="00A62C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7261</w:t>
            </w:r>
          </w:p>
          <w:p w:rsidR="006C3A87" w:rsidRPr="003C551D" w:rsidRDefault="006C3A87" w:rsidP="00A62C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:rsidR="006C3A87" w:rsidRPr="003C551D" w:rsidRDefault="006C3A87" w:rsidP="006C3A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Użycie tablicy do przechowywania obiektów w klasie Painting.</w:t>
            </w:r>
          </w:p>
        </w:tc>
        <w:tc>
          <w:tcPr>
            <w:tcW w:w="1834" w:type="dxa"/>
          </w:tcPr>
          <w:p w:rsidR="006C3A87" w:rsidRDefault="006C3A87" w:rsidP="00A62C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6604</w:t>
            </w:r>
          </w:p>
          <w:p w:rsidR="006C3A87" w:rsidRPr="003C551D" w:rsidRDefault="006C3A87" w:rsidP="00A62C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6C3A87" w:rsidRDefault="006C3A87" w:rsidP="00A62C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9,05</w:t>
            </w:r>
          </w:p>
          <w:p w:rsidR="006C3A87" w:rsidRPr="003C551D" w:rsidRDefault="006C3A87" w:rsidP="00A62C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</w:tcPr>
          <w:p w:rsidR="006C3A87" w:rsidRPr="003C551D" w:rsidRDefault="006C3A87" w:rsidP="00A62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czajnik.obj</w:t>
            </w:r>
          </w:p>
        </w:tc>
      </w:tr>
      <w:tr w:rsidR="006C3A87" w:rsidRPr="003C551D" w:rsidTr="00A62C3E">
        <w:tc>
          <w:tcPr>
            <w:tcW w:w="1985" w:type="dxa"/>
          </w:tcPr>
          <w:p w:rsidR="006C3A87" w:rsidRPr="003C551D" w:rsidRDefault="006C3A87" w:rsidP="006C3A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Użycie iteratora i++ w pętlach obsługujących tablice w klasie Painting.</w:t>
            </w:r>
          </w:p>
        </w:tc>
        <w:tc>
          <w:tcPr>
            <w:tcW w:w="1938" w:type="dxa"/>
          </w:tcPr>
          <w:p w:rsidR="006C3A87" w:rsidRDefault="006C3A87" w:rsidP="00A62C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6724</w:t>
            </w:r>
          </w:p>
          <w:p w:rsidR="006C3A87" w:rsidRPr="003C551D" w:rsidRDefault="006C3A87" w:rsidP="00A62C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:rsidR="006C3A87" w:rsidRPr="003C551D" w:rsidRDefault="006C3A87" w:rsidP="006C3A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Użycie iteratora ++i w pętlach obsługujących tablice w klasie Painting.</w:t>
            </w:r>
          </w:p>
        </w:tc>
        <w:tc>
          <w:tcPr>
            <w:tcW w:w="1834" w:type="dxa"/>
          </w:tcPr>
          <w:p w:rsidR="006C3A87" w:rsidRDefault="006C3A87" w:rsidP="00A62C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6590,6</w:t>
            </w:r>
          </w:p>
          <w:p w:rsidR="006C3A87" w:rsidRPr="003C551D" w:rsidRDefault="006C3A87" w:rsidP="00A62C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6C3A87" w:rsidRDefault="006C3A87" w:rsidP="00A62C3E">
            <w:pPr>
              <w:ind w:firstLineChars="100" w:firstLine="22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3,51</w:t>
            </w:r>
          </w:p>
          <w:p w:rsidR="006C3A87" w:rsidRPr="003C551D" w:rsidRDefault="006C3A87" w:rsidP="00A62C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</w:tcPr>
          <w:p w:rsidR="006C3A87" w:rsidRPr="003C551D" w:rsidRDefault="006C3A87" w:rsidP="00A62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czajnik.obj</w:t>
            </w:r>
          </w:p>
        </w:tc>
      </w:tr>
      <w:tr w:rsidR="006C3A87" w:rsidRPr="003C551D" w:rsidTr="00A62C3E">
        <w:tc>
          <w:tcPr>
            <w:tcW w:w="1985" w:type="dxa"/>
          </w:tcPr>
          <w:p w:rsidR="006C3A87" w:rsidRPr="003C551D" w:rsidRDefault="006C3A87" w:rsidP="003C551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Użycie zagnieżdżonych pętli w klasie Painting.</w:t>
            </w:r>
          </w:p>
        </w:tc>
        <w:tc>
          <w:tcPr>
            <w:tcW w:w="1938" w:type="dxa"/>
          </w:tcPr>
          <w:p w:rsidR="006C3A87" w:rsidRDefault="006C3A87" w:rsidP="00A62C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186,2</w:t>
            </w:r>
          </w:p>
          <w:p w:rsidR="006C3A87" w:rsidRPr="003C551D" w:rsidRDefault="006C3A87" w:rsidP="00A62C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:rsidR="006C3A87" w:rsidRPr="003C551D" w:rsidRDefault="006C3A87" w:rsidP="00A62C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Użycie </w:t>
            </w:r>
            <w:r w:rsidR="00A62C3E">
              <w:rPr>
                <w:sz w:val="24"/>
                <w:szCs w:val="24"/>
              </w:rPr>
              <w:t xml:space="preserve">jednej spłaszczonej </w:t>
            </w:r>
            <w:r>
              <w:rPr>
                <w:sz w:val="24"/>
                <w:szCs w:val="24"/>
              </w:rPr>
              <w:t>pętli w klasie Painting.</w:t>
            </w:r>
          </w:p>
        </w:tc>
        <w:tc>
          <w:tcPr>
            <w:tcW w:w="1834" w:type="dxa"/>
          </w:tcPr>
          <w:p w:rsidR="00A62C3E" w:rsidRDefault="00A62C3E" w:rsidP="00A62C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158,2</w:t>
            </w:r>
          </w:p>
          <w:p w:rsidR="006C3A87" w:rsidRPr="003C551D" w:rsidRDefault="006C3A87" w:rsidP="00A62C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A62C3E" w:rsidRDefault="00A62C3E" w:rsidP="00A62C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15,04</w:t>
            </w:r>
          </w:p>
          <w:p w:rsidR="006C3A87" w:rsidRPr="003C551D" w:rsidRDefault="006C3A87" w:rsidP="00A62C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</w:tcPr>
          <w:p w:rsidR="006C3A87" w:rsidRPr="003C551D" w:rsidRDefault="00A62C3E" w:rsidP="00A62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cube.obj</w:t>
            </w:r>
          </w:p>
        </w:tc>
      </w:tr>
    </w:tbl>
    <w:p w:rsidR="00A62C3E" w:rsidRDefault="00A62C3E" w:rsidP="003C551D">
      <w:pPr>
        <w:jc w:val="both"/>
        <w:rPr>
          <w:sz w:val="40"/>
          <w:szCs w:val="40"/>
        </w:rPr>
      </w:pPr>
    </w:p>
    <w:p w:rsidR="00A62C3E" w:rsidRDefault="00A62C3E" w:rsidP="003C551D">
      <w:pPr>
        <w:jc w:val="both"/>
        <w:rPr>
          <w:sz w:val="40"/>
          <w:szCs w:val="40"/>
        </w:rPr>
      </w:pPr>
      <w:r>
        <w:rPr>
          <w:sz w:val="40"/>
          <w:szCs w:val="40"/>
        </w:rPr>
        <w:t>Etapy optymalizacji:</w:t>
      </w:r>
    </w:p>
    <w:p w:rsidR="000B586F" w:rsidRDefault="00A62C3E" w:rsidP="00B34AE1">
      <w:pPr>
        <w:rPr>
          <w:sz w:val="28"/>
          <w:szCs w:val="28"/>
        </w:rPr>
      </w:pPr>
      <w:r>
        <w:rPr>
          <w:sz w:val="28"/>
          <w:szCs w:val="28"/>
        </w:rPr>
        <w:t>Do wstępnego sprawdzenia czasu działania i ,,wąskich gardeł ‘’ aplikacji użyłem profilera. Profiler jednoznacznie wykazał, największą ilość wywołań i ogólny czas działania funkcji getMin i getMax</w:t>
      </w:r>
      <w:r w:rsidR="00B34AE1">
        <w:rPr>
          <w:sz w:val="28"/>
          <w:szCs w:val="28"/>
        </w:rPr>
        <w:t xml:space="preserve">. Powyższe funkcje okazały się wysoce niewydajne i powolne w działaniu. </w:t>
      </w:r>
    </w:p>
    <w:p w:rsidR="000B586F" w:rsidRDefault="00B34AE1" w:rsidP="00B34AE1">
      <w:pPr>
        <w:rPr>
          <w:sz w:val="28"/>
          <w:szCs w:val="28"/>
        </w:rPr>
      </w:pPr>
      <w:r>
        <w:rPr>
          <w:sz w:val="28"/>
          <w:szCs w:val="28"/>
        </w:rPr>
        <w:t>Następnym</w:t>
      </w:r>
      <w:r w:rsidR="00644BAB">
        <w:rPr>
          <w:sz w:val="28"/>
          <w:szCs w:val="28"/>
        </w:rPr>
        <w:t xml:space="preserve"> newralgicznym</w:t>
      </w:r>
      <w:r>
        <w:rPr>
          <w:sz w:val="28"/>
          <w:szCs w:val="28"/>
        </w:rPr>
        <w:t xml:space="preserve"> punktem, który został podda</w:t>
      </w:r>
      <w:r w:rsidR="00644BAB">
        <w:rPr>
          <w:sz w:val="28"/>
          <w:szCs w:val="28"/>
        </w:rPr>
        <w:t xml:space="preserve">ny optymalizacji była klasa Painting. Początkowo do przechowywania zbioru obiektów przeznaczonych do rasteryzacji służyła Lista. Lista ta była przekazywana do klasy Painting, która iterowała po tej liście pobierając obiekty Triangle. </w:t>
      </w:r>
      <w:r w:rsidR="000B586F">
        <w:rPr>
          <w:sz w:val="28"/>
          <w:szCs w:val="28"/>
        </w:rPr>
        <w:t xml:space="preserve">W celu przyśpieszenia pobierania obiektów Lista została zmieniona na tablice. </w:t>
      </w:r>
      <w:r w:rsidR="000B586F">
        <w:rPr>
          <w:sz w:val="28"/>
          <w:szCs w:val="28"/>
        </w:rPr>
        <w:lastRenderedPageBreak/>
        <w:t>Powyższa zmiana była zauważalna chociaż nie tak znaczna jak pierwszy etap optymalizacji.</w:t>
      </w:r>
    </w:p>
    <w:p w:rsidR="00A62C3E" w:rsidRDefault="000B586F" w:rsidP="00B34AE1">
      <w:pPr>
        <w:rPr>
          <w:sz w:val="28"/>
          <w:szCs w:val="28"/>
        </w:rPr>
      </w:pPr>
      <w:r>
        <w:rPr>
          <w:sz w:val="28"/>
          <w:szCs w:val="28"/>
        </w:rPr>
        <w:t xml:space="preserve">Kolejną próbą przyśpieszenia była zmiana metody inkrementacji z </w:t>
      </w:r>
      <w:r w:rsidR="00B34AE1">
        <w:rPr>
          <w:sz w:val="28"/>
          <w:szCs w:val="28"/>
        </w:rPr>
        <w:br/>
      </w:r>
      <w:r>
        <w:rPr>
          <w:sz w:val="28"/>
          <w:szCs w:val="28"/>
        </w:rPr>
        <w:t>postkremenetacji</w:t>
      </w:r>
      <w:r w:rsidRPr="000B586F">
        <w:rPr>
          <w:sz w:val="28"/>
          <w:szCs w:val="28"/>
        </w:rPr>
        <w:t xml:space="preserve"> (i++)</w:t>
      </w:r>
      <w:r>
        <w:rPr>
          <w:sz w:val="28"/>
          <w:szCs w:val="28"/>
        </w:rPr>
        <w:t xml:space="preserve"> na </w:t>
      </w:r>
      <w:r w:rsidRPr="000B586F">
        <w:rPr>
          <w:sz w:val="28"/>
          <w:szCs w:val="28"/>
        </w:rPr>
        <w:t>preinkrementacj</w:t>
      </w:r>
      <w:r>
        <w:rPr>
          <w:sz w:val="28"/>
          <w:szCs w:val="28"/>
        </w:rPr>
        <w:t xml:space="preserve">e (++i). Powyższa modyfikacja </w:t>
      </w:r>
      <w:r w:rsidR="00AF7609">
        <w:rPr>
          <w:sz w:val="28"/>
          <w:szCs w:val="28"/>
        </w:rPr>
        <w:t>dała nie wielkie rezultaty, lecz była istotnym etapem do dalszych zmian.</w:t>
      </w:r>
    </w:p>
    <w:p w:rsidR="00AF7609" w:rsidRDefault="00AF7609" w:rsidP="00B34AE1">
      <w:pPr>
        <w:rPr>
          <w:sz w:val="28"/>
          <w:szCs w:val="28"/>
        </w:rPr>
      </w:pPr>
      <w:r>
        <w:rPr>
          <w:sz w:val="28"/>
          <w:szCs w:val="28"/>
        </w:rPr>
        <w:t>Ostatnim etapem poprawy wydajności aplikacji była zmiana dwóch pętli w klasie Painting, odpowiadających za pozycjonowanie wyświetlanego obrazu w osiach X i Y. Zmiana polegała na usunięciu dwóch pętli i na ich miejsce wstawienie jednej spłaszczonej pętli obsługującej zarówno oś X i Y. Użycie jednej pętli zamiast dwóch dało drugi co do procentowego zysku rezultat optymalizacji.</w:t>
      </w:r>
    </w:p>
    <w:p w:rsidR="00AF7609" w:rsidRDefault="00AF7609" w:rsidP="00B34AE1">
      <w:pPr>
        <w:rPr>
          <w:sz w:val="28"/>
          <w:szCs w:val="28"/>
        </w:rPr>
      </w:pPr>
    </w:p>
    <w:p w:rsidR="00AF7609" w:rsidRDefault="007124CC" w:rsidP="00B34AE1">
      <w:pPr>
        <w:rPr>
          <w:sz w:val="40"/>
          <w:szCs w:val="40"/>
        </w:rPr>
      </w:pPr>
      <w:r>
        <w:rPr>
          <w:sz w:val="40"/>
          <w:szCs w:val="40"/>
        </w:rPr>
        <w:t>Wnioski:</w:t>
      </w:r>
    </w:p>
    <w:p w:rsidR="007124CC" w:rsidRPr="007124CC" w:rsidRDefault="007124CC" w:rsidP="00B34AE1">
      <w:pPr>
        <w:rPr>
          <w:sz w:val="28"/>
          <w:szCs w:val="28"/>
        </w:rPr>
      </w:pPr>
      <w:r>
        <w:rPr>
          <w:sz w:val="28"/>
          <w:szCs w:val="28"/>
        </w:rPr>
        <w:t xml:space="preserve">Użycie profilera jak narzędzie do badania wydajności aplikacji jest bardzo skutecznym i prostym sposobem na wyszukanie funkcji, które </w:t>
      </w:r>
      <w:r w:rsidR="00F87E3E">
        <w:rPr>
          <w:sz w:val="28"/>
          <w:szCs w:val="28"/>
        </w:rPr>
        <w:t>znacznie spowalniają aplikacje.</w:t>
      </w:r>
      <w:r w:rsidR="00F87E3E">
        <w:rPr>
          <w:sz w:val="28"/>
          <w:szCs w:val="28"/>
        </w:rPr>
        <w:br/>
        <w:t>Tworząc własną funkcję należy się zastanowić czy nie jest możliwe zastąpieniem jej wbudowaną funkcją z dostępnych bibliotek. Takie działanie może okazać się znacznie wydajniejsze i znacznie przyśpieszyć obliczenia naszej funkcji.</w:t>
      </w:r>
      <w:r w:rsidR="00F87E3E">
        <w:rPr>
          <w:sz w:val="28"/>
          <w:szCs w:val="28"/>
        </w:rPr>
        <w:br/>
        <w:t xml:space="preserve">Aby użyć tablic do przechowania danych, należy określić jej wielkość przy inicjalizacji. Listy możemy dowolnie wydłużać poprzez dodawanie nowych elementów. </w:t>
      </w:r>
      <w:r w:rsidR="00E94722">
        <w:rPr>
          <w:sz w:val="28"/>
          <w:szCs w:val="28"/>
        </w:rPr>
        <w:t xml:space="preserve">Jednak jeśli znana jest dokładna długość potrzebowanej tablicy, zastosowanie jej może w znacznym stopniu skrócić czas wykonania </w:t>
      </w:r>
      <w:r w:rsidR="004B690B">
        <w:rPr>
          <w:sz w:val="28"/>
          <w:szCs w:val="28"/>
        </w:rPr>
        <w:t>programu</w:t>
      </w:r>
      <w:r w:rsidR="00E94722">
        <w:rPr>
          <w:sz w:val="28"/>
          <w:szCs w:val="28"/>
        </w:rPr>
        <w:t>.</w:t>
      </w:r>
      <w:r w:rsidR="004B690B">
        <w:rPr>
          <w:sz w:val="28"/>
          <w:szCs w:val="28"/>
        </w:rPr>
        <w:br/>
        <w:t>Znacznym usprawnieniem okazało się zastosowanie pojedynczej pętli obsługującej pozycje tworzonych pikseli na bitmapie.</w:t>
      </w:r>
      <w:bookmarkStart w:id="0" w:name="_GoBack"/>
      <w:bookmarkEnd w:id="0"/>
      <w:r w:rsidR="00E94722">
        <w:rPr>
          <w:sz w:val="28"/>
          <w:szCs w:val="28"/>
        </w:rPr>
        <w:br/>
      </w:r>
    </w:p>
    <w:sectPr w:rsidR="007124CC" w:rsidRPr="00712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1D"/>
    <w:rsid w:val="00092A75"/>
    <w:rsid w:val="000B586F"/>
    <w:rsid w:val="001D368C"/>
    <w:rsid w:val="003C551D"/>
    <w:rsid w:val="004B690B"/>
    <w:rsid w:val="005437F1"/>
    <w:rsid w:val="00644BAB"/>
    <w:rsid w:val="006C1E9E"/>
    <w:rsid w:val="006C3A87"/>
    <w:rsid w:val="007124CC"/>
    <w:rsid w:val="009953D6"/>
    <w:rsid w:val="00A62C3E"/>
    <w:rsid w:val="00AF7609"/>
    <w:rsid w:val="00B34AE1"/>
    <w:rsid w:val="00D311DE"/>
    <w:rsid w:val="00E94722"/>
    <w:rsid w:val="00F82D1B"/>
    <w:rsid w:val="00F8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3ABA4-3D76-47A0-B2AB-07259A06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C5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435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Kozioł</dc:creator>
  <cp:keywords/>
  <dc:description/>
  <cp:lastModifiedBy>Patryk Kozioł</cp:lastModifiedBy>
  <cp:revision>5</cp:revision>
  <dcterms:created xsi:type="dcterms:W3CDTF">2019-02-18T12:59:00Z</dcterms:created>
  <dcterms:modified xsi:type="dcterms:W3CDTF">2019-02-18T16:16:00Z</dcterms:modified>
</cp:coreProperties>
</file>