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Product Call - Samenvatting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Belangrijkste beslissingen, prioriteiten en acties</w:t>
      </w:r>
    </w:p>
    <w:p>
      <w:pPr>
        <w:pBdr>
          <w:bottom w:val="single" w:color="4F46E5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Productvisie</w:t>
      </w:r>
    </w:p>
    <w:tbl>
      <w:tblPr>
        <w:tblW w:type="dxa" w:w="9026"/>
        <w:tblBorders>
          <w:top w:val="nil"/>
          <w:left w:val="single" w:color="4F46E5" w:sz="12"/>
          <w:bottom w:val="nil"/>
          <w:right w:val="nil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il"/>
              <w:left w:val="single" w:color="4F46E5" w:sz="12"/>
              <w:bottom w:val="nil"/>
              <w:right w:val="nil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E1B4B"/>
                <w:sz w:val="19"/>
                <w:szCs w:val="19"/>
              </w:rPr>
              <w:t xml:space="preserve">Een zelflerend AI-platform dat feitgecontroleerde MoFu/BoFu SEO-content genereert via een geautomatiseerde n8n-backend - met een intuitive UI en een gesloten review- en feedbackloop.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Kernpijlers MVP</w:t>
      </w:r>
    </w:p>
    <w:tbl>
      <w:tblPr>
        <w:tblW w:type="dxa" w:w="9026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2908"/>
        <w:gridCol w:w="200"/>
        <w:gridCol w:w="2908"/>
        <w:gridCol w:w="200"/>
        <w:gridCol w:w="2810"/>
      </w:tblGrid>
      <w:tr>
        <w:tc>
          <w:tcPr>
            <w:tcW w:type="dxa" w:w="2908"/>
            <w:tcBorders>
              <w:top w:val="nil"/>
              <w:left w:val="nil"/>
              <w:bottom w:val="nil"/>
              <w:right w:val="nil"/>
            </w:tcBorders>
            <w:shd w:fill="F0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69A1"/>
                <w:sz w:val="18"/>
                <w:szCs w:val="18"/>
              </w:rPr>
              <w:t xml:space="preserve">01  UX &amp; Interface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Airtable-stijl UI, drag-and-drop Kanban, split-view reviewer met briefing en commentaar naast elkaar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2908"/>
            <w:tcBorders>
              <w:top w:val="nil"/>
              <w:left w:val="nil"/>
              <w:bottom w:val="nil"/>
              <w:right w:val="nil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02  Zelflerend Systeem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traint op goedgekeurde pagina's via diff-analyse. Eerste 10 iteraties handmatig gecontroleerd, daarna autonoom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2810"/>
            <w:tcBorders>
              <w:top w:val="nil"/>
              <w:left w:val="nil"/>
              <w:bottom w:val="nil"/>
              <w:right w:val="nil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03  SEO Intelligence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Knowledge graph + Data for SEO API voor gap-analyse, concurrentie-inzicht en automatische linkbuilding-suggesties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Technische Keuzes</w:t>
      </w:r>
    </w:p>
    <w:tbl>
      <w:tblPr>
        <w:tblW w:type="dxa" w:w="9026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Laag</w:t>
            </w:r>
          </w:p>
        </w:tc>
        <w:tc>
          <w:tcPr>
            <w:tcW w:type="dxa" w:w="3200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Technologie</w:t>
            </w:r>
          </w:p>
        </w:tc>
        <w:tc>
          <w:tcPr>
            <w:tcW w:type="dxa" w:w="3826"/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Reden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Frontend</w:t>
            </w:r>
          </w:p>
        </w:tc>
        <w:tc>
          <w:tcPr>
            <w:tcW w:type="dxa" w:w="3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Next.js + TypeScript</w:t>
            </w:r>
          </w:p>
        </w:tc>
        <w:tc>
          <w:tcPr>
            <w:tcW w:type="dxa" w:w="3826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Schaalbaarheid, snelle iteraties, moderne webapp-architectuur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Deployment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Vercel</w:t>
            </w:r>
          </w:p>
        </w:tc>
        <w:tc>
          <w:tcPr>
            <w:tcW w:type="dxa" w:w="3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Zero-config, edge-geoptimaliseerd, naadloze CI/CD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AI Pipeline</w:t>
            </w:r>
          </w:p>
        </w:tc>
        <w:tc>
          <w:tcPr>
            <w:tcW w:type="dxa" w:w="3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n8n (self-hosted)</w:t>
            </w:r>
          </w:p>
        </w:tc>
        <w:tc>
          <w:tcPr>
            <w:tcW w:type="dxa" w:w="3826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Multi-agent orkestratie via webhooks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SEO Data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Data for SEO API</w:t>
            </w:r>
          </w:p>
        </w:tc>
        <w:tc>
          <w:tcPr>
            <w:tcW w:type="dxa" w:w="3826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Gap-analyse, zoekvolumes, concurrentie-inzicht</w:t>
            </w:r>
          </w:p>
        </w:tc>
      </w:tr>
      <w:tr>
        <w:tc>
          <w:tcPr>
            <w:tcW w:type="dxa" w:w="20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7"/>
                <w:szCs w:val="17"/>
              </w:rPr>
              <w:t xml:space="preserve">Streaming</w:t>
            </w:r>
          </w:p>
        </w:tc>
        <w:tc>
          <w:tcPr>
            <w:tcW w:type="dxa" w:w="3200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7"/>
                <w:szCs w:val="17"/>
              </w:rPr>
              <w:t xml:space="preserve">Vercel AI SDK + SSE</w:t>
            </w:r>
          </w:p>
        </w:tc>
        <w:tc>
          <w:tcPr>
            <w:tcW w:type="dxa" w:w="3826"/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Live contentgeneratie direct naar de UI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Actiepunten</w:t>
      </w:r>
    </w:p>
    <w:tbl>
      <w:tblPr>
        <w:tblW w:type="dxa" w:w="9026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Kaj Slier</w:t>
            </w:r>
          </w:p>
        </w:tc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Roelof Stoelwinder</w:t>
            </w:r>
          </w:p>
        </w:tc>
      </w:tr>
      <w:tr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UI mock-ups en frontend componenten</w:t>
            </w:r>
          </w:p>
        </w:tc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Architectuurplan, UX flowcharts en databasestructuur</w:t>
            </w:r>
          </w:p>
        </w:tc>
      </w:tr>
      <w:tr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Next.js + TypeScript ontwikkeling starten</w:t>
            </w:r>
          </w:p>
        </w:tc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Data for SEO API integreren</w:t>
            </w:r>
          </w:p>
        </w:tc>
      </w:tr>
      <w:tr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AI-innovatiesubsidie aanvraag voorbereiden (RVO)</w:t>
            </w:r>
          </w:p>
        </w:tc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E-mailworkflows verbeteren (Gmail -&gt; Microsoft HTTP)</w:t>
            </w:r>
          </w:p>
        </w:tc>
      </w:tr>
      <w:tr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Voorbereiding meeting vrijdag met Roelof + Jorrit</w:t>
            </w:r>
          </w:p>
        </w:tc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Self-iterating systeem opzetten (diff-analyse + patronen)</w:t>
            </w:r>
          </w:p>
        </w:tc>
      </w:tr>
      <w:tr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Review editor met splitscreen + commentaar</w:t>
            </w:r>
          </w:p>
        </w:tc>
      </w:tr>
      <w:tr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4313"/>
            <w:tcBorders>
              <w:top w:val="nil"/>
              <w:left w:val="nil"/>
              <w:bottom w:val="nil"/>
              <w:right w:val="nil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- 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Sessies met Jorrit organiseren over schrijfstijl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Roadmap</w:t>
      </w:r>
    </w:p>
    <w:tbl>
      <w:tblPr>
        <w:tblW w:type="dxa" w:w="9026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2206"/>
        <w:gridCol w:w="200"/>
        <w:gridCol w:w="2206"/>
        <w:gridCol w:w="200"/>
        <w:gridCol w:w="2206"/>
        <w:gridCol w:w="200"/>
        <w:gridCol w:w="1808"/>
      </w:tblGrid>
      <w:tr>
        <w:tc>
          <w:tcPr>
            <w:tcW w:type="dxa" w:w="2206"/>
            <w:tcBorders>
              <w:top w:val="nil"/>
              <w:left w:val="nil"/>
              <w:bottom w:val="nil"/>
              <w:right w:val="nil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Nu - April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MVP bouwen, UI designs, architectuur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2206"/>
            <w:tcBorders>
              <w:top w:val="nil"/>
              <w:left w:val="nil"/>
              <w:bottom w:val="nil"/>
              <w:right w:val="nil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7"/>
                <w:szCs w:val="17"/>
              </w:rPr>
              <w:t xml:space="preserve">Mei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Pilots: eigen bedrijf + Control Union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2206"/>
            <w:tcBorders>
              <w:top w:val="nil"/>
              <w:left w:val="nil"/>
              <w:bottom w:val="nil"/>
              <w:right w:val="nil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Mei - Juni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Commercieel traject starten, eerste klanten</w:t>
            </w:r>
          </w:p>
        </w:tc>
        <w:tc>
          <w:tcPr>
            <w:tcW w:type="dxa" w:w="200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dxa" w:w="1808"/>
            <w:tcBorders>
              <w:top w:val="nil"/>
              <w:left w:val="nil"/>
              <w:bottom w:val="nil"/>
              <w:right w:val="nil"/>
            </w:tcBorders>
            <w:shd w:fill="FA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7"/>
                <w:szCs w:val="17"/>
              </w:rPr>
              <w:t xml:space="preserve">Q3+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CRM-integratie, kennisgraaf, advertentiemodule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5E7EB" w:sz="4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Volgende meeting: Vrijdag met Roelof + Jorrit  |  Doel: schrijfstijl &amp; productstrategie afstemmen  |  </w:t>
      </w:r>
      <w:r>
        <w:rPr>
          <w:rFonts w:ascii="Arial" w:cs="Arial" w:eastAsia="Arial" w:hAnsi="Arial"/>
          <w:b/>
          <w:bCs/>
          <w:color w:val="4F46E5"/>
          <w:sz w:val="17"/>
          <w:szCs w:val="17"/>
        </w:rPr>
        <w:t xml:space="preserve">Lancering target: Mei 2026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B7280"/>
        <w:sz w:val="16"/>
        <w:szCs w:val="16"/>
      </w:rPr>
      <w:t xml:space="preserve">Vertrouwelijk - Intern gebruik</w:t>
    </w:r>
    <w:r>
      <w:rPr>
        <w:rFonts w:ascii="Arial" w:cs="Arial" w:eastAsia="Arial" w:hAnsi="Arial"/>
        <w:color w:val="6B7280"/>
        <w:sz w:val="16"/>
        <w:szCs w:val="16"/>
      </w:rPr>
      <w:t xml:space="preserve">	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4F46E5"/>
        <w:sz w:val="20"/>
        <w:szCs w:val="20"/>
      </w:rPr>
      <w:t xml:space="preserve">cyflux x turn.one</w:t>
    </w:r>
    <w:r>
      <w:rPr>
        <w:rFonts w:ascii="Arial" w:cs="Arial" w:eastAsia="Arial" w:hAnsi="Arial"/>
        <w:color w:val="6B7280"/>
        <w:sz w:val="18"/>
        <w:szCs w:val="18"/>
      </w:rPr>
      <w:t xml:space="preserve">	Product Call - Samenvatting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2026-04-08T18:39:32.511Z</dcterms:created>
  <dcterms:modified xsi:type="dcterms:W3CDTF">2026-04-08T18:39:32.511Z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