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KF-Biljettsystem</w:t>
      </w:r>
    </w:p>
    <w:tbl>
      <w:tblPr>
        <w:tblStyle w:val="TableGrid"/>
        <w:tblW w:type="auto" w:w="0"/>
        <w:tblLook w:firstColumn="1" w:firstRow="1" w:lastColumn="0" w:lastRow="0" w:noHBand="0" w:noVBand="1" w:val="04A0"/>
      </w:tblPr>
      <w:tblGrid>
        <w:gridCol w:w="4677"/>
        <w:gridCol w:w="4677"/>
      </w:tblGrid>
      <w:tr>
        <w:tc>
          <w:tcPr>
            <w:tcW w:type="dxa" w:w="4677"/>
          </w:tcPr>
          <w:p>
            <w:r/>
            <w:r>
              <w:rPr>
                <w:b/>
              </w:rPr>
              <w:t>Avtalsfakta</w:t>
            </w:r>
          </w:p>
        </w:tc>
        <w:tc>
          <w:tcPr>
            <w:tcW w:type="dxa" w:w="4677"/>
          </w:tcPr>
          <w:p>
            <w:r/>
            <w:r>
              <w:rPr>
                <w:b/>
              </w:rPr>
              <w:t>Innehåll</w:t>
            </w:r>
          </w:p>
        </w:tc>
      </w:tr>
      <w:tr>
        <w:tc>
          <w:tcPr>
            <w:tcW w:type="dxa" w:w="4677"/>
          </w:tcPr>
          <w:p>
            <w:r>
              <w:t>Avtalsnummer</w:t>
            </w:r>
          </w:p>
        </w:tc>
        <w:tc>
          <w:tcPr>
            <w:tcW w:type="dxa" w:w="4677"/>
          </w:tcPr>
          <w:p>
            <w:r>
              <w:t>CTR-2023-015</w:t>
            </w:r>
          </w:p>
        </w:tc>
      </w:tr>
      <w:tr>
        <w:tc>
          <w:tcPr>
            <w:tcW w:type="dxa" w:w="4677"/>
          </w:tcPr>
          <w:p>
            <w:r>
              <w:t>Avtalsdatum</w:t>
            </w:r>
          </w:p>
        </w:tc>
        <w:tc>
          <w:tcPr>
            <w:tcW w:type="dxa" w:w="4677"/>
          </w:tcPr>
          <w:p>
            <w:r>
              <w:t>15.06.2023</w:t>
            </w:r>
          </w:p>
        </w:tc>
      </w:tr>
      <w:tr>
        <w:tc>
          <w:tcPr>
            <w:tcW w:type="dxa" w:w="4677"/>
          </w:tcPr>
          <w:p>
            <w:r>
              <w:t>Avtalsperiod</w:t>
            </w:r>
          </w:p>
        </w:tc>
        <w:tc>
          <w:tcPr>
            <w:tcW w:type="dxa" w:w="4677"/>
          </w:tcPr>
          <w:p>
            <w:r>
              <w:t>01.07.2023 – 31.12.2026</w:t>
            </w:r>
          </w:p>
        </w:tc>
      </w:tr>
      <w:tr>
        <w:tc>
          <w:tcPr>
            <w:tcW w:type="dxa" w:w="4677"/>
          </w:tcPr>
          <w:p>
            <w:r>
              <w:t>Förlängning</w:t>
            </w:r>
          </w:p>
        </w:tc>
        <w:tc>
          <w:tcPr>
            <w:tcW w:type="dxa" w:w="4677"/>
          </w:tcPr>
          <w:p>
            <w:r>
              <w:t>Ja, 12 månader</w:t>
            </w:r>
          </w:p>
        </w:tc>
      </w:tr>
      <w:tr>
        <w:tc>
          <w:tcPr>
            <w:tcW w:type="dxa" w:w="4677"/>
          </w:tcPr>
          <w:p>
            <w:r>
              <w:t>Uppsägningstid</w:t>
            </w:r>
          </w:p>
        </w:tc>
        <w:tc>
          <w:tcPr>
            <w:tcW w:type="dxa" w:w="4677"/>
          </w:tcPr>
          <w:p>
            <w:r>
              <w:t>3 månader</w:t>
            </w:r>
          </w:p>
        </w:tc>
      </w:tr>
      <w:tr>
        <w:tc>
          <w:tcPr>
            <w:tcW w:type="dxa" w:w="4677"/>
          </w:tcPr>
          <w:p>
            <w:r>
              <w:t>Betalningsvillkor</w:t>
            </w:r>
          </w:p>
        </w:tc>
        <w:tc>
          <w:tcPr>
            <w:tcW w:type="dxa" w:w="4677"/>
          </w:tcPr>
          <w:p>
            <w:r>
              <w:t>30 dagar netto</w:t>
            </w:r>
          </w:p>
        </w:tc>
      </w:tr>
      <w:tr>
        <w:tc>
          <w:tcPr>
            <w:tcW w:type="dxa" w:w="4677"/>
          </w:tcPr>
          <w:p>
            <w:r>
              <w:t>Pris</w:t>
            </w:r>
          </w:p>
        </w:tc>
        <w:tc>
          <w:tcPr>
            <w:tcW w:type="dxa" w:w="4677"/>
          </w:tcPr>
          <w:p>
            <w:r>
              <w:t>Timpris: 1 050,00 kr per timme (exkl. moms).</w:t>
            </w:r>
          </w:p>
        </w:tc>
      </w:tr>
      <w:tr>
        <w:tc>
          <w:tcPr>
            <w:tcW w:type="dxa" w:w="4677"/>
          </w:tcPr>
          <w:p>
            <w:r>
              <w:t>Ansvarsbegränsning</w:t>
            </w:r>
          </w:p>
        </w:tc>
        <w:tc>
          <w:tcPr>
            <w:tcW w:type="dxa" w:w="4677"/>
          </w:tcPr>
          <w:p>
            <w:r>
              <w:t>24 månaders funktionsgaranti.</w:t>
            </w:r>
          </w:p>
        </w:tc>
      </w:tr>
    </w:tbl>
    <w:p>
      <w:r>
        <w:rPr>
          <w:b/>
          <w:i w:val="0"/>
        </w:rPr>
        <w:t>Parter och bakgrund</w:t>
      </w:r>
    </w:p>
    <w:p>
      <w:r>
        <w:rPr>
          <w:b w:val="0"/>
          <w:i w:val="0"/>
        </w:rPr>
        <w:t>Kunden: Kustbandets Färjor AB (org.nr 556219-8741), Båtviken</w:t>
      </w:r>
    </w:p>
    <w:p>
      <w:r>
        <w:rPr>
          <w:b w:val="0"/>
          <w:i w:val="0"/>
        </w:rPr>
        <w:t>Leverantören: Nordviken Digital AB (org.nr 559245-1673), Kajplatsen 4, 115 27 Stockholm</w:t>
      </w:r>
    </w:p>
    <w:p>
      <w:r>
        <w:rPr>
          <w:b w:val="0"/>
          <w:i w:val="0"/>
        </w:rPr>
        <w:t>Parterna har den 15.06.2023 träffat detta avtal.</w:t>
      </w:r>
    </w:p>
    <w:p>
      <w:r>
        <w:rPr>
          <w:b/>
          <w:i w:val="0"/>
        </w:rPr>
        <w:t>Uppdraget</w:t>
      </w:r>
    </w:p>
    <w:p>
      <w:r>
        <w:rPr>
          <w:b w:val="0"/>
          <w:i w:val="0"/>
        </w:rPr>
        <w:t>Uppdraget omfattar design, implementation och införande av den beskrivna lösningen enligt överenskommen tidplan, inklusive acceptanstest och driftsättning.</w:t>
      </w:r>
    </w:p>
    <w:p>
      <w:r>
        <w:rPr>
          <w:b/>
          <w:i w:val="0"/>
        </w:rPr>
        <w:t>Pris och betalning</w:t>
      </w:r>
    </w:p>
    <w:p>
      <w:r>
        <w:rPr>
          <w:b w:val="0"/>
          <w:i w:val="0"/>
        </w:rPr>
        <w:t>Timpris: 1 050,00 kr per timme (exkl. moms).</w:t>
      </w:r>
    </w:p>
    <w:p>
      <w:r>
        <w:rPr>
          <w:b w:val="0"/>
          <w:i w:val="0"/>
        </w:rPr>
        <w:t>Timpriset indexregleras enligt indexklausulen nedan.</w:t>
      </w:r>
    </w:p>
    <w:p>
      <w:r>
        <w:rPr>
          <w:b w:val="0"/>
          <w:i w:val="0"/>
        </w:rPr>
        <w:t>Priserna uppräknas årligen per den 1 november 2025 med KPI, basmånad juli 2023.</w:t>
      </w:r>
    </w:p>
    <w:p>
      <w:r>
        <w:rPr>
          <w:b w:val="0"/>
          <w:i w:val="0"/>
        </w:rPr>
        <w:t>Uppräkning sker med faktorn KPI juni 2023 dividerat med KPI juli 2023.</w:t>
      </w:r>
    </w:p>
    <w:p>
      <w:r>
        <w:rPr>
          <w:b w:val="0"/>
          <w:i w:val="0"/>
        </w:rPr>
        <w:t>Betalningsvillkor: 30 dagar netto.</w:t>
      </w:r>
    </w:p>
    <w:p>
      <w:r>
        <w:rPr>
          <w:b/>
          <w:i w:val="0"/>
        </w:rPr>
        <w:t>Avtalstid och uppsägning</w:t>
      </w:r>
    </w:p>
    <w:p>
      <w:r>
        <w:rPr>
          <w:b w:val="0"/>
          <w:i w:val="0"/>
        </w:rPr>
        <w:t>Avtalet gäller från och med 01.07.2023 till och med 31.12.2026.</w:t>
      </w:r>
    </w:p>
    <w:p>
      <w:r>
        <w:rPr>
          <w:b w:val="0"/>
          <w:i w:val="0"/>
        </w:rPr>
        <w:t>Avtalet förlängs automatiskt med 12 månader om det inte sägs upp senast 3 månader före utgången.</w:t>
      </w:r>
    </w:p>
    <w:p>
      <w:r>
        <w:rPr>
          <w:b/>
          <w:i w:val="0"/>
        </w:rPr>
        <w:t>Ansvarsbegränsning</w:t>
      </w:r>
    </w:p>
    <w:p>
      <w:r>
        <w:rPr>
          <w:b w:val="0"/>
          <w:i w:val="0"/>
        </w:rPr>
        <w:t>Leverantören lämnar funktionsgaranti om tjugofyra (24) månader räknat från godkänd leverans av systemet. Under garantitiden åtgärdar leverantören utan kostnad för kunden fel och brister som beror på leveransen. Garantin omfattar inte fel som orsakats av kundens egen hantering eller av ändringar som utförts av annan än leverantören.</w:t>
      </w:r>
    </w:p>
    <w:p>
      <w:r>
        <w:rPr>
          <w:b/>
          <w:i w:val="0"/>
        </w:rPr>
        <w:t>Övriga villkor</w:t>
      </w:r>
    </w:p>
    <w:p>
      <w:r>
        <w:rPr>
          <w:b w:val="0"/>
          <w:i w:val="0"/>
        </w:rPr>
        <w:t>Vardera parten behandlar information om den andra parten konfidentiellt. Ändringar av avtalet ska vara skriftliga. Svensk rätt tillämpas på avtalet och tvister avgörs av Stockholms tingsrätt.</w:t>
      </w:r>
    </w:p>
    <w:p>
      <w:r>
        <w:rPr>
          <w:b/>
          <w:i w:val="0"/>
        </w:rPr>
        <w:t>Allmänna bestämmelser</w:t>
      </w:r>
    </w:p>
    <w:p>
      <w:r>
        <w:rPr>
          <w:b w:val="0"/>
          <w:i w:val="0"/>
        </w:rPr>
        <w:t>Prioritet mellan handlingar: Vid motstridighet mellan avtalets handlingar gäller de i följande ordning: detta avtal, därefter bilagorna i nummerordning.</w:t>
      </w:r>
    </w:p>
    <w:p>
      <w:r>
        <w:rPr>
          <w:b w:val="0"/>
          <w:i w:val="0"/>
        </w:rPr>
        <w:t>Efterlevnad av lag: Vardera parten ska vid fullgörandet av avtalet följa vid var tid tillämpliga lagar, förordningar och myndighetsföreskrifter.</w:t>
      </w:r>
    </w:p>
    <w:p>
      <w:r>
        <w:rPr>
          <w:b w:val="0"/>
          <w:i w:val="0"/>
        </w:rPr>
        <w:t>Tredje parts rättigheter: Avtalet ger inte tredje man några rättigheter som kan göras gällande mot någon av parterna.</w:t>
      </w:r>
    </w:p>
    <w:p>
      <w:r>
        <w:rPr>
          <w:b w:val="0"/>
          <w:i w:val="0"/>
        </w:rPr>
        <w:t>Personal och kompetens: Leverantören svarar för att personal som utför uppdraget har erforderlig kompetens och erfarenhet. Leverantören ska i möjligaste mån undvika onödiga personbyten under uppdragets genomförande.</w:t>
      </w:r>
    </w:p>
    <w:p>
      <w:r>
        <w:rPr>
          <w:b w:val="0"/>
          <w:i w:val="0"/>
        </w:rPr>
        <w:t>Möten och uppföljning: Parterna ska vid behov hålla avstämningsmöten för att följa upp avtalets fullgörande och hantera avvikelser och förbättringsförslag.</w:t>
      </w:r>
    </w:p>
    <w:p>
      <w:r>
        <w:rPr>
          <w:b/>
          <w:i w:val="0"/>
        </w:rPr>
        <w:t>Ändringshistorik</w:t>
      </w:r>
    </w:p>
    <w:tbl>
      <w:tblPr>
        <w:tblStyle w:val="TableGrid"/>
        <w:tblW w:type="auto" w:w="0"/>
        <w:tblLook w:firstColumn="1" w:firstRow="1" w:lastColumn="0" w:lastRow="0" w:noHBand="0" w:noVBand="1" w:val="04A0"/>
      </w:tblPr>
      <w:tblGrid>
        <w:gridCol w:w="3118"/>
        <w:gridCol w:w="3118"/>
        <w:gridCol w:w="3118"/>
      </w:tblGrid>
      <w:tr>
        <w:tc>
          <w:tcPr>
            <w:tcW w:type="dxa" w:w="3118"/>
          </w:tcPr>
          <w:p>
            <w:r/>
            <w:r>
              <w:rPr>
                <w:b/>
              </w:rPr>
              <w:t>Version</w:t>
            </w:r>
          </w:p>
        </w:tc>
        <w:tc>
          <w:tcPr>
            <w:tcW w:type="dxa" w:w="3118"/>
          </w:tcPr>
          <w:p>
            <w:r/>
            <w:r>
              <w:rPr>
                <w:b/>
              </w:rPr>
              <w:t>Datum</w:t>
            </w:r>
          </w:p>
        </w:tc>
        <w:tc>
          <w:tcPr>
            <w:tcW w:type="dxa" w:w="3118"/>
          </w:tcPr>
          <w:p>
            <w:r/>
            <w:r>
              <w:rPr>
                <w:b/>
              </w:rPr>
              <w:t>Ändring</w:t>
            </w:r>
          </w:p>
        </w:tc>
      </w:tr>
      <w:tr>
        <w:tc>
          <w:tcPr>
            <w:tcW w:type="dxa" w:w="3118"/>
          </w:tcPr>
          <w:p>
            <w:r>
              <w:t>1</w:t>
            </w:r>
          </w:p>
        </w:tc>
        <w:tc>
          <w:tcPr>
            <w:tcW w:type="dxa" w:w="3118"/>
          </w:tcPr>
          <w:p>
            <w:r>
              <w:t>15.06.2023</w:t>
            </w:r>
          </w:p>
        </w:tc>
        <w:tc>
          <w:tcPr>
            <w:tcW w:type="dxa" w:w="3118"/>
          </w:tcPr>
          <w:p>
            <w:r>
              <w:t>Ursprungligt: 1 050 kr/h.</w:t>
            </w:r>
          </w:p>
        </w:tc>
      </w:tr>
    </w:tbl>
    <w:p>
      <w:r>
        <w:rPr>
          <w:b/>
          <w:i w:val="0"/>
        </w:rPr>
        <w:t>Underskrifter</w:t>
      </w:r>
    </w:p>
    <w:p>
      <w:r>
        <w:rPr>
          <w:b w:val="0"/>
          <w:i w:val="0"/>
        </w:rPr>
      </w:r>
    </w:p>
    <w:tbl>
      <w:tblPr>
        <w:tblStyle w:val="TableGrid"/>
        <w:tblW w:type="auto" w:w="0"/>
        <w:tblLook w:firstColumn="1" w:firstRow="1" w:lastColumn="0" w:lastRow="0" w:noHBand="0" w:noVBand="1" w:val="04A0"/>
      </w:tblPr>
      <w:tblGrid>
        <w:gridCol w:w="4677"/>
        <w:gridCol w:w="4677"/>
      </w:tblGrid>
      <w:tr>
        <w:tc>
          <w:tcPr>
            <w:tcW w:type="dxa" w:w="4677"/>
          </w:tcPr>
          <w:p>
            <w:r/>
            <w:r>
              <w:rPr>
                <w:b/>
              </w:rPr>
              <w:t>För Kustbandets Färjor AB</w:t>
            </w:r>
          </w:p>
        </w:tc>
        <w:tc>
          <w:tcPr>
            <w:tcW w:type="dxa" w:w="4677"/>
          </w:tcPr>
          <w:p>
            <w:r/>
            <w:r>
              <w:rPr>
                <w:b/>
              </w:rPr>
              <w:t>För Nordviken Digital AB</w:t>
            </w:r>
          </w:p>
        </w:tc>
      </w:tr>
      <w:tr>
        <w:tc>
          <w:tcPr>
            <w:tcW w:type="dxa" w:w="4677"/>
          </w:tcPr>
          <w:p>
            <w:r>
              <w:t>Ort och datum:</w:t>
              <w:br/>
              <w:br/>
              <w:br/>
              <w:br/>
              <w:t>Namnförtydligande: Mats Lindgren</w:t>
              <w:br/>
              <w:br/>
              <w:br/>
              <w:br/>
              <w:t>Befattning: Ekonomichef</w:t>
            </w:r>
          </w:p>
        </w:tc>
        <w:tc>
          <w:tcPr>
            <w:tcW w:type="dxa" w:w="4677"/>
          </w:tcPr>
          <w:p>
            <w:r>
              <w:t>Ort och datum:</w:t>
              <w:br/>
              <w:br/>
              <w:br/>
              <w:br/>
              <w:t>Namnförtydligande: Maja Lindqvist</w:t>
              <w:br/>
              <w:br/>
              <w:br/>
              <w:br/>
              <w:t>Befattning: Verkställande direktör</w:t>
            </w:r>
          </w:p>
        </w:tc>
      </w:tr>
    </w:tbl>
    <w:sectPr w:rsidR="00FC693F" w:rsidRPr="0006063C" w:rsidSect="00034616">
      <w:footerReference w:type="default" r:id="rId9"/>
      <w:pgSz w:w="11906" w:h="16838"/>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Calibri" w:hAnsi="Calibr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